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autoSpaceDE w:val="0"/>
        <w:autoSpaceDN w:val="0"/>
        <w:bidi w:val="0"/>
        <w:snapToGrid/>
        <w:spacing w:line="560" w:lineRule="exact"/>
        <w:jc w:val="center"/>
        <w:textAlignment w:val="auto"/>
        <w:outlineLvl w:val="0"/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0" w:name="_Toc9911"/>
      <w:bookmarkStart w:id="1" w:name="_Toc32432"/>
      <w:bookmarkStart w:id="2" w:name="_Toc4291"/>
      <w:bookmarkStart w:id="3" w:name="_Toc12152"/>
      <w:bookmarkStart w:id="4" w:name="_Toc13239"/>
      <w:r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2022年昌江黎族自治县新能源汽车消费活动</w:t>
      </w:r>
      <w:bookmarkEnd w:id="0"/>
      <w:bookmarkEnd w:id="1"/>
      <w:bookmarkEnd w:id="2"/>
      <w:bookmarkEnd w:id="3"/>
      <w:bookmarkEnd w:id="4"/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autoSpaceDE w:val="0"/>
        <w:autoSpaceDN w:val="0"/>
        <w:bidi w:val="0"/>
        <w:snapToGrid/>
        <w:spacing w:line="560" w:lineRule="exact"/>
        <w:jc w:val="center"/>
        <w:textAlignment w:val="auto"/>
        <w:outlineLvl w:val="0"/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bookmarkStart w:id="5" w:name="_Toc7292"/>
      <w:bookmarkStart w:id="6" w:name="_Toc9821"/>
      <w:bookmarkStart w:id="7" w:name="_Toc5642"/>
      <w:bookmarkStart w:id="8" w:name="_Toc11292"/>
      <w:bookmarkStart w:id="9" w:name="_Toc28419"/>
      <w:r>
        <w:rPr>
          <w:rFonts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消费券领取指南</w:t>
      </w:r>
      <w:bookmarkEnd w:id="5"/>
      <w:bookmarkEnd w:id="6"/>
      <w:bookmarkEnd w:id="7"/>
      <w:bookmarkEnd w:id="8"/>
      <w:bookmarkEnd w:id="9"/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8"/>
        <w:tabs>
          <w:tab w:val="right" w:leader="dot" w:pos="8845"/>
        </w:tabs>
        <w:jc w:val="center"/>
        <w:rPr>
          <w:rFonts w:hint="default"/>
          <w:sz w:val="32"/>
          <w:szCs w:val="32"/>
          <w:lang w:val="en-US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  <w:instrText xml:space="preserve">TOC \o "1-3" \h \u </w:instrTex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目录</w:t>
      </w:r>
    </w:p>
    <w:p>
      <w:pPr>
        <w:pStyle w:val="9"/>
        <w:tabs>
          <w:tab w:val="right" w:leader="dot" w:pos="8845"/>
        </w:tabs>
        <w:rPr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\l _Toc3285 </w:instrText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一、下载“工银e生活”及“数字人民币”APP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_Toc3285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</w:t>
      </w:r>
      <w:r>
        <w:rPr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845"/>
        </w:tabs>
        <w:rPr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\l _Toc12301 </w:instrText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二、消费券领取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_Toc12301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5</w:t>
      </w:r>
      <w:r>
        <w:rPr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845"/>
        </w:tabs>
        <w:rPr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\l _Toc23113 </w:instrText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sz w:val="32"/>
          <w:szCs w:val="32"/>
          <w:lang w:val="en-US" w:eastAsia="zh-CN"/>
        </w:rPr>
        <w:t>三、消费券使用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_Toc23113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6</w:t>
      </w:r>
      <w:r>
        <w:rPr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845"/>
        </w:tabs>
        <w:rPr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\l _Toc3550 </w:instrText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四、消费券使用说明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_Toc3550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9</w:t>
      </w:r>
      <w:r>
        <w:rPr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845"/>
        </w:tabs>
        <w:rPr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\l _Toc21110 </w:instrText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五、系统及业务咨询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_Toc21110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9</w:t>
      </w:r>
      <w:r>
        <w:rPr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845"/>
        </w:tabs>
        <w:rPr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\l _Toc17427 </w:instrText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附件1：消费券商户名单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_Toc17427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10</w:t>
      </w:r>
      <w:r>
        <w:rPr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9"/>
        <w:tabs>
          <w:tab w:val="right" w:leader="dot" w:pos="8845"/>
        </w:tabs>
        <w:rPr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\l _Toc22714 </w:instrText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/>
          <w:sz w:val="32"/>
          <w:szCs w:val="32"/>
          <w:lang w:val="en-US" w:eastAsia="zh-CN"/>
        </w:rPr>
        <w:t>附件2：工商银行放假公告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_Toc22714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13</w:t>
      </w:r>
      <w:r>
        <w:rPr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15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10" w:name="_Toc16923"/>
      <w:bookmarkStart w:id="11" w:name="_Toc12672"/>
      <w:bookmarkStart w:id="12" w:name="_Toc5256"/>
      <w:bookmarkStart w:id="13" w:name="_Toc3285"/>
      <w:bookmarkStart w:id="14" w:name="_Toc30247"/>
      <w:r>
        <w:rPr>
          <w:rFonts w:hint="eastAsia"/>
          <w:sz w:val="32"/>
          <w:szCs w:val="32"/>
          <w:lang w:val="en-US" w:eastAsia="zh-CN"/>
        </w:rPr>
        <w:t>一、下载“工银e生活”及“数字人民币”APP</w:t>
      </w:r>
      <w:bookmarkEnd w:id="10"/>
      <w:bookmarkEnd w:id="11"/>
      <w:bookmarkEnd w:id="12"/>
      <w:bookmarkEnd w:id="13"/>
      <w:bookmarkEnd w:id="14"/>
    </w:p>
    <w:p>
      <w:pPr>
        <w:pStyle w:val="1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（一）在手机应用商店搜索“工银e生活”APP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点击“我的”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点击“请登录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/注册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”；</w:t>
      </w:r>
    </w:p>
    <w:p>
      <w:pPr>
        <w:pStyle w:val="14"/>
        <w:numPr>
          <w:ilvl w:val="0"/>
          <w:numId w:val="0"/>
        </w:numPr>
        <w:jc w:val="center"/>
        <w:rPr>
          <w:rFonts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0" distR="0">
            <wp:extent cx="1864995" cy="3590925"/>
            <wp:effectExtent l="0" t="0" r="0" b="0"/>
            <wp:docPr id="1" name="图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像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756410" cy="3469640"/>
            <wp:effectExtent l="0" t="0" r="0" b="0"/>
            <wp:docPr id="2" name="图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像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604645" cy="3478530"/>
            <wp:effectExtent l="0" t="0" r="0" b="0"/>
            <wp:docPr id="3" name="图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像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spacing w:beforeLines="0" w:beforeAutospacing="0" w:afterLines="0" w:afterAutospacing="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eastAsia="zh-CN"/>
        </w:rPr>
        <w:t>输入工行注册手机号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输入验证码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输入登录密码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输入绑定卡密码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点击“完成”。</w:t>
      </w:r>
    </w:p>
    <w:p>
      <w:pPr>
        <w:pStyle w:val="14"/>
        <w:numPr>
          <w:ilvl w:val="0"/>
          <w:numId w:val="1"/>
        </w:num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在手机应用商店搜索下载“数字人民币（试点版）”APP并注册用户。按页面提示开通工行数字人民币个人钱包，并升级到一类或二类个人钱包（“我的”→“软钱包”→“</w:t>
      </w:r>
      <w:r>
        <w:rPr>
          <w:rFonts w:ascii="仿宋_GB2312" w:hAnsi="仿宋_GB2312" w:eastAsia="仿宋_GB2312" w:cs="仿宋_GB2312"/>
          <w:sz w:val="32"/>
          <w:szCs w:val="32"/>
          <w:lang w:val="en-US" w:eastAsia="zh-CN" w:bidi="ar-SA"/>
        </w:rPr>
        <w:t>钱包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”→“升级</w:t>
      </w:r>
      <w:r>
        <w:rPr>
          <w:rFonts w:ascii="仿宋_GB2312" w:hAnsi="仿宋_GB2312" w:eastAsia="仿宋_GB2312" w:cs="仿宋_GB2312"/>
          <w:sz w:val="32"/>
          <w:szCs w:val="32"/>
          <w:lang w:val="en-US" w:eastAsia="zh-CN" w:bidi="ar-SA"/>
        </w:rPr>
        <w:t>钱包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”）；若您当前已开立钱包，则要将钱包添加到APP之后再使用</w:t>
      </w:r>
    </w:p>
    <w:p>
      <w:pPr>
        <w:pStyle w:val="15"/>
        <w:rPr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0" distR="0">
            <wp:extent cx="5609590" cy="3869690"/>
            <wp:effectExtent l="0" t="0" r="0" b="0"/>
            <wp:docPr id="4" name="图片 8" descr="微信图片_2022112714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微信图片_202211271457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sz w:val="32"/>
          <w:szCs w:val="32"/>
          <w:lang w:val="en-US" w:eastAsia="zh-CN"/>
        </w:rPr>
      </w:pPr>
    </w:p>
    <w:p>
      <w:pPr>
        <w:pStyle w:val="14"/>
        <w:numPr>
          <w:ilvl w:val="0"/>
          <w:numId w:val="0"/>
        </w:numPr>
        <w:jc w:val="left"/>
        <w:rPr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0" distR="0">
            <wp:extent cx="5615940" cy="4004310"/>
            <wp:effectExtent l="0" t="0" r="0" b="0"/>
            <wp:docPr id="5" name="图片 2" descr="微信图片_20221127145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微信图片_2022112714573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0" distR="0">
            <wp:extent cx="1651000" cy="3271520"/>
            <wp:effectExtent l="0" t="0" r="0" b="0"/>
            <wp:docPr id="6" name="图片 10" descr="微信图片_2022112715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微信图片_202211271518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007870" cy="3917315"/>
            <wp:effectExtent l="0" t="0" r="0" b="0"/>
            <wp:docPr id="7" name="图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像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926590" cy="3789045"/>
            <wp:effectExtent l="0" t="0" r="0" b="0"/>
            <wp:docPr id="8" name="图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像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859915" cy="3863340"/>
            <wp:effectExtent l="0" t="0" r="0" b="0"/>
            <wp:docPr id="9" name="图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像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957705" cy="3776345"/>
            <wp:effectExtent l="0" t="0" r="0" b="0"/>
            <wp:docPr id="10" name="图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像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626870" cy="3380105"/>
            <wp:effectExtent l="0" t="0" r="0" b="0"/>
            <wp:docPr id="11" name="图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像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sz w:val="32"/>
          <w:szCs w:val="32"/>
          <w:lang w:val="en-US" w:eastAsia="zh-CN"/>
        </w:rPr>
      </w:pPr>
    </w:p>
    <w:p>
      <w:pPr>
        <w:pStyle w:val="3"/>
        <w:bidi w:val="0"/>
        <w:ind w:firstLine="643" w:firstLineChars="200"/>
        <w:rPr>
          <w:rFonts w:ascii="黑体" w:hAnsi="黑体" w:eastAsia="黑体" w:cs="黑体"/>
          <w:b w:val="0"/>
          <w:bCs w:val="0"/>
          <w:sz w:val="32"/>
          <w:szCs w:val="32"/>
          <w:lang w:val="en-US"/>
        </w:rPr>
      </w:pPr>
      <w:bookmarkStart w:id="15" w:name="_Toc12301"/>
      <w:bookmarkStart w:id="16" w:name="_Toc20779"/>
      <w:bookmarkStart w:id="17" w:name="_Toc12869"/>
      <w:bookmarkStart w:id="18" w:name="_Toc7088"/>
      <w:bookmarkStart w:id="19" w:name="_Toc25540"/>
      <w:r>
        <w:rPr>
          <w:rFonts w:hint="eastAsia"/>
          <w:sz w:val="32"/>
          <w:szCs w:val="32"/>
          <w:lang w:val="en-US" w:eastAsia="zh-CN"/>
        </w:rPr>
        <w:t>二、消费券领取</w:t>
      </w:r>
      <w:bookmarkEnd w:id="15"/>
      <w:bookmarkEnd w:id="16"/>
      <w:bookmarkEnd w:id="17"/>
      <w:bookmarkEnd w:id="18"/>
      <w:bookmarkEnd w:id="19"/>
    </w:p>
    <w:p>
      <w:pPr>
        <w:pStyle w:val="14"/>
        <w:numPr>
          <w:ilvl w:val="0"/>
          <w:numId w:val="0"/>
        </w:numPr>
        <w:ind w:firstLine="640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登录工银e生活平台成功后点击“优惠券”→点击“电子券”→点击领取“昌江新能源汽车消费活动”券。（注：</w:t>
      </w:r>
      <w:r>
        <w:rPr>
          <w:rFonts w:ascii="仿宋_GB2312" w:hAnsi="仿宋_GB2312" w:cs="仿宋_GB2312" w:eastAsiaTheme="minorEastAsia"/>
          <w:color w:val="auto"/>
          <w:kern w:val="0"/>
          <w:sz w:val="32"/>
          <w:szCs w:val="32"/>
          <w:lang w:val="en-US" w:eastAsia="zh-CN" w:bidi="ar-SA"/>
        </w:rPr>
        <w:t>消费券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领取名单及金额以昌江县政府门户网站公告为准，网址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http://changjiang.hainan.gov.cn/changjiang/0400/202304/0a24df3d88c74cfc8dc52fbb456c4e4c.shtml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pStyle w:val="14"/>
        <w:numPr>
          <w:ilvl w:val="0"/>
          <w:numId w:val="0"/>
        </w:numPr>
        <w:jc w:val="center"/>
        <w:rPr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0" distR="0">
            <wp:extent cx="1772920" cy="3846195"/>
            <wp:effectExtent l="0" t="0" r="0" b="0"/>
            <wp:docPr id="12" name="图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像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772285" cy="3841115"/>
            <wp:effectExtent l="0" t="0" r="0" b="0"/>
            <wp:docPr id="13" name="图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像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777365" cy="3851275"/>
            <wp:effectExtent l="0" t="0" r="0" b="0"/>
            <wp:docPr id="14" name="图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像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643" w:firstLineChars="200"/>
        <w:rPr>
          <w:sz w:val="32"/>
          <w:szCs w:val="32"/>
          <w:lang w:val="en-US" w:eastAsia="zh-CN"/>
        </w:rPr>
      </w:pPr>
      <w:bookmarkStart w:id="20" w:name="_Toc18269"/>
      <w:bookmarkStart w:id="21" w:name="_Toc57"/>
      <w:bookmarkStart w:id="22" w:name="_Toc7493"/>
      <w:bookmarkStart w:id="23" w:name="_Toc19837"/>
      <w:bookmarkStart w:id="24" w:name="_Toc23113"/>
      <w:r>
        <w:rPr>
          <w:sz w:val="32"/>
          <w:szCs w:val="32"/>
          <w:lang w:val="en-US" w:eastAsia="zh-CN"/>
        </w:rPr>
        <w:t>三、消费券使用</w:t>
      </w:r>
      <w:bookmarkEnd w:id="20"/>
      <w:bookmarkEnd w:id="21"/>
      <w:bookmarkEnd w:id="22"/>
      <w:bookmarkEnd w:id="23"/>
      <w:bookmarkEnd w:id="24"/>
    </w:p>
    <w:p>
      <w:pPr>
        <w:pStyle w:val="14"/>
        <w:numPr>
          <w:ilvl w:val="0"/>
          <w:numId w:val="0"/>
        </w:numPr>
        <w:ind w:firstLine="640" w:firstLineChars="200"/>
        <w:jc w:val="left"/>
        <w:rPr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（一）进入工银e生活平台左下方精选界面</w:t>
      </w:r>
      <w:r>
        <w:rPr>
          <w:rFonts w:ascii="仿宋_GB2312" w:hAnsi="仿宋_GB2312" w:eastAsia="仿宋_GB2312" w:cs="仿宋_GB2312"/>
          <w:sz w:val="32"/>
          <w:szCs w:val="32"/>
        </w:rPr>
        <w:t>→搜索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点击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需要参与的商户→点击“我要买单”→输入消费金额→点击电子券抵扣→点击去支付→</w:t>
      </w:r>
      <w:r>
        <w:rPr>
          <w:rFonts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选择“付款方式”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点击“数字人民币”；</w:t>
      </w:r>
    </w:p>
    <w:p>
      <w:pPr>
        <w:pStyle w:val="14"/>
        <w:numPr>
          <w:ilvl w:val="0"/>
          <w:numId w:val="0"/>
        </w:numPr>
        <w:jc w:val="left"/>
        <w:rPr>
          <w:sz w:val="32"/>
          <w:szCs w:val="32"/>
          <w:lang w:val="en-US" w:eastAsia="zh-CN"/>
        </w:rPr>
      </w:pPr>
    </w:p>
    <w:p>
      <w:pPr>
        <w:pStyle w:val="14"/>
        <w:numPr>
          <w:ilvl w:val="0"/>
          <w:numId w:val="0"/>
        </w:numPr>
        <w:jc w:val="center"/>
        <w:rPr>
          <w:rFonts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0" distR="0">
            <wp:extent cx="1685925" cy="3765550"/>
            <wp:effectExtent l="0" t="0" r="0" b="0"/>
            <wp:docPr id="15" name="图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像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678940" cy="3828415"/>
            <wp:effectExtent l="0" t="0" r="0" b="0"/>
            <wp:docPr id="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737360" cy="3768090"/>
            <wp:effectExtent l="0" t="0" r="0" b="0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729740" cy="3750310"/>
            <wp:effectExtent l="0" t="0" r="0" b="0"/>
            <wp:docPr id="1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712595" cy="3712845"/>
            <wp:effectExtent l="0" t="0" r="0" b="0"/>
            <wp:docPr id="19" name="图像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像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firstLine="640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）输入钱包支付密码及验证码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待“付款方式”为“数字人民币”时点击“确认支付”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输入支付密码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支付成功。</w:t>
      </w:r>
    </w:p>
    <w:p>
      <w:pPr>
        <w:pStyle w:val="14"/>
        <w:numPr>
          <w:ilvl w:val="0"/>
          <w:numId w:val="0"/>
        </w:numPr>
        <w:jc w:val="left"/>
        <w:rPr>
          <w:rFonts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0" distR="0">
            <wp:extent cx="2324100" cy="3486150"/>
            <wp:effectExtent l="0" t="0" r="0" b="0"/>
            <wp:docPr id="20" name="图像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像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609090" cy="3488055"/>
            <wp:effectExtent l="0" t="0" r="0" b="0"/>
            <wp:docPr id="21" name="图像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像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604645" cy="3478530"/>
            <wp:effectExtent l="0" t="0" r="0" b="0"/>
            <wp:docPr id="22" name="图像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像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jc w:val="left"/>
        <w:rPr>
          <w:rFonts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0" distR="0">
            <wp:extent cx="1613535" cy="3499485"/>
            <wp:effectExtent l="0" t="0" r="0" b="0"/>
            <wp:docPr id="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firstLine="643" w:firstLineChars="200"/>
        <w:rPr>
          <w:rFonts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25" w:name="_Toc23635"/>
      <w:bookmarkStart w:id="26" w:name="_Toc5879"/>
      <w:bookmarkStart w:id="27" w:name="_Toc10293"/>
      <w:bookmarkStart w:id="28" w:name="_Toc3550"/>
      <w:bookmarkStart w:id="29" w:name="_Toc22713"/>
      <w:r>
        <w:rPr>
          <w:rFonts w:hint="eastAsia"/>
          <w:sz w:val="32"/>
          <w:szCs w:val="32"/>
          <w:lang w:val="en-US" w:eastAsia="zh-CN"/>
        </w:rPr>
        <w:t>四、消费券使用</w:t>
      </w:r>
      <w:bookmarkEnd w:id="25"/>
      <w:r>
        <w:rPr>
          <w:rFonts w:hint="eastAsia"/>
          <w:sz w:val="32"/>
          <w:szCs w:val="32"/>
          <w:lang w:val="en-US" w:eastAsia="zh-CN"/>
        </w:rPr>
        <w:t>说明</w:t>
      </w:r>
      <w:bookmarkEnd w:id="26"/>
      <w:bookmarkEnd w:id="27"/>
      <w:bookmarkEnd w:id="28"/>
      <w:bookmarkEnd w:id="29"/>
    </w:p>
    <w:p>
      <w:pPr>
        <w:pStyle w:val="14"/>
        <w:keepNext w:val="0"/>
        <w:keepLines w:val="0"/>
        <w:pageBreakBefore w:val="0"/>
        <w:widowControl w:val="0"/>
        <w:kinsoku/>
        <w:overflowPunct/>
        <w:bidi w:val="0"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）消费券每张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金额为100元，单笔消费每</w:t>
      </w:r>
      <w:r>
        <w:rPr>
          <w:rFonts w:ascii="仿宋_GB2312" w:hAnsi="仿宋_GB2312" w:eastAsia="仿宋_GB2312" w:cs="仿宋_GB2312"/>
          <w:sz w:val="32"/>
          <w:szCs w:val="32"/>
        </w:rPr>
        <w:t>满100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.01</w:t>
      </w:r>
      <w:r>
        <w:rPr>
          <w:rFonts w:ascii="仿宋_GB2312" w:hAnsi="仿宋_GB2312" w:eastAsia="仿宋_GB2312" w:cs="仿宋_GB2312"/>
          <w:sz w:val="32"/>
          <w:szCs w:val="32"/>
        </w:rPr>
        <w:t>元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可核销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1张</w:t>
      </w:r>
      <w:r>
        <w:rPr>
          <w:rFonts w:ascii="仿宋_GB2312" w:hAnsi="仿宋_GB2312" w:eastAsia="仿宋_GB2312" w:cs="仿宋_GB2312"/>
          <w:sz w:val="32"/>
          <w:szCs w:val="32"/>
        </w:rPr>
        <w:t>消费券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单张消费券不能拆分使用，单笔消费可核销多张消费券（例：单笔消费110元，可核销1张消费券+10元其他方式完成付款）。</w:t>
      </w:r>
    </w:p>
    <w:p>
      <w:pPr>
        <w:pStyle w:val="14"/>
        <w:keepNext w:val="0"/>
        <w:keepLines w:val="0"/>
        <w:pageBreakBefore w:val="0"/>
        <w:widowControl w:val="0"/>
        <w:kinsoku/>
        <w:overflowPunct/>
        <w:bidi w:val="0"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（二）消费券领取后有效期为90天，订单发生全额退款时，尚在有效期内的消费券可再次使用，退款后的券有效期不变。如退款时消费券超出有效期或有效期内订单部分退款，消费券无法再次使用。</w:t>
      </w:r>
    </w:p>
    <w:p>
      <w:pPr>
        <w:pStyle w:val="15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（三）</w:t>
      </w:r>
      <w:r>
        <w:rPr>
          <w:rFonts w:ascii="仿宋_GB2312" w:hAnsi="仿宋_GB2312" w:eastAsia="仿宋_GB2312" w:cs="仿宋_GB2312"/>
          <w:sz w:val="32"/>
          <w:szCs w:val="32"/>
        </w:rPr>
        <w:t>消费券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仅限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昌江县实体商户</w: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t>使用</w:t>
      </w:r>
      <w:r>
        <w:rPr>
          <w:rFonts w:ascii="仿宋_GB2312" w:hAnsi="仿宋_GB2312" w:eastAsia="仿宋_GB2312" w:cs="仿宋_GB2312"/>
          <w:sz w:val="32"/>
          <w:szCs w:val="32"/>
        </w:rPr>
        <w:t>，可与商户促销活动叠加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ascii="仿宋_GB2312" w:hAnsi="仿宋_GB2312" w:eastAsia="仿宋_GB2312" w:cs="仿宋_GB2312"/>
          <w:sz w:val="32"/>
          <w:szCs w:val="32"/>
        </w:rPr>
        <w:t>商户名单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详见附件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bidi w:val="0"/>
        <w:ind w:firstLine="643" w:firstLineChars="200"/>
        <w:rPr>
          <w:b w:val="0"/>
          <w:bCs/>
          <w:sz w:val="32"/>
          <w:szCs w:val="32"/>
          <w:lang w:val="en-US" w:eastAsia="zh-CN"/>
        </w:rPr>
      </w:pPr>
      <w:bookmarkStart w:id="30" w:name="_Toc25651"/>
      <w:bookmarkStart w:id="31" w:name="_Toc16344"/>
      <w:bookmarkStart w:id="32" w:name="_Toc21110"/>
      <w:bookmarkStart w:id="33" w:name="_Toc28664"/>
      <w:r>
        <w:rPr>
          <w:rFonts w:hint="eastAsia"/>
          <w:sz w:val="32"/>
          <w:szCs w:val="32"/>
          <w:lang w:val="en-US" w:eastAsia="zh-CN"/>
        </w:rPr>
        <w:t>五、系统及业务咨询</w:t>
      </w:r>
      <w:bookmarkEnd w:id="30"/>
      <w:bookmarkEnd w:id="31"/>
      <w:bookmarkEnd w:id="32"/>
      <w:bookmarkEnd w:id="33"/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系统操作可致电或前往昌江县各工商银行营业网点咨询，“五一劳动节”期间可咨询值班网点（详见附件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），其他非节假日期间均可咨询。业务支持人员：杨涛17689730815、陈惠惠15108948090、符贞伟18976507889、李伟志18889786941、王绥贤13215773456。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pStyle w:val="3"/>
        <w:bidi w:val="0"/>
        <w:rPr>
          <w:rFonts w:hint="eastAsia"/>
          <w:sz w:val="32"/>
          <w:szCs w:val="32"/>
          <w:lang w:val="en-US" w:eastAsia="zh-CN"/>
        </w:rPr>
      </w:pPr>
      <w:bookmarkStart w:id="34" w:name="_Toc29244"/>
      <w:bookmarkStart w:id="35" w:name="_Toc11954"/>
      <w:bookmarkStart w:id="36" w:name="_Toc3955"/>
      <w:bookmarkStart w:id="37" w:name="_Toc17427"/>
      <w:r>
        <w:rPr>
          <w:rFonts w:hint="eastAsia"/>
          <w:sz w:val="32"/>
          <w:szCs w:val="32"/>
          <w:lang w:val="en-US" w:eastAsia="zh-CN"/>
        </w:rPr>
        <w:t>附件1：消费券商户名单</w:t>
      </w:r>
      <w:bookmarkEnd w:id="34"/>
      <w:bookmarkEnd w:id="35"/>
      <w:bookmarkEnd w:id="36"/>
      <w:bookmarkEnd w:id="37"/>
      <w:r>
        <w:rPr>
          <w:rFonts w:hint="eastAsia"/>
          <w:sz w:val="32"/>
          <w:szCs w:val="32"/>
          <w:lang w:val="en-US" w:eastAsia="zh-CN"/>
        </w:rPr>
        <w:t>（第一批）</w:t>
      </w:r>
    </w:p>
    <w:tbl>
      <w:tblPr>
        <w:tblStyle w:val="10"/>
        <w:tblW w:w="887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7"/>
        <w:gridCol w:w="2550"/>
        <w:gridCol w:w="56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单位详细名称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商户地址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昌江百花汇商贸有限公司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海南省昌江黎族自治县东风路19号金凯时代广场负一层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昌江广佰汇超市有限公司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海南省昌江黎族自治县东风路19号金凯时代广场负一层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昌江致和宝真商贸有限公司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海南省昌江县石碌镇人民北路西侧147号凯达商业广场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群升（昌江）棋子湾置业有限公司万国棋子湾海滩大酒店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昌化镇北斗西路北侧群升棋子湾海滩大酒店24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海南恒盛元棋子湾开元度假村有限公司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海南昌江黎族自治县昌化镇棋子湾旅游度假区D-3地块开元度假村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昌江石碌新达东羊肉店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环城东二路1栋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昌江石碌伟业建材商行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人民北路248号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昌江石碌邱杰手机店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海南-昌江黎族自治县-石碌镇 人民北路东侧41号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永驰电动车行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石碌镇建设西路17号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昌江石碌万福祥珠宝行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人民北路195A号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昌江石碌永盛电器商店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人民北路108号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昌江石碌惠中电器城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人民北路111号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昌江石碌祥达汽车维修中心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海南-昌江黎族自治县-石碌镇 农垦路1号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昌江石碌芒果缘农家庄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海南-昌江黎族自治县-石碌镇 环城西二环路(小郭停车场)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昌江兴业鑫电影文化有限公司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海南省昌江黎族自治县环城东路1号兴业世紀广场A栋420房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昌江石碌雅韵轩家具店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和美家园东侧十字路口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昌江石碌钩搭美食店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石碌镇昌江大道东侧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昌江石碌鑫盛商行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156海南省昌江县石碌镇人民北矿建路财政宿舍(13号1栋103)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昌江石碌益菓园水果店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昌江县石碌镇人民北路国土局大楼南侧167号103房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昌江石碌佳家益菓园水果店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海南-昌江黎族自治县-石碌镇 环城东路兴业广场B栋117号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昌江石碌香满楼酒家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昌江石碌镇惠民路6号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22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昌江石碌克劳拉尔男装店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海南昌江县石碌镇市民广场二路恒基广场S4号楼一层118号商铺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23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昌江石碌钻豹电动车行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昌江县石碌镇人民北路石碌镇办公楼对面(221号)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昌江石碌金座娱乐俱乐部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石碌镇恒基广场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昌江石碌国强烟酒行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海南省昌江黎族自治县石碌镇人民北路(生生茶艺馆旁)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26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昌江石碌联谊手机店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海南-昌江黎族自治县-石碌镇 人民北路万家惠超市正对面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27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昌江石碌金利福珠宝店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海南省昌江县石碌镇人民北路凯达广场一楼A11号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28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昌江石碌汉釜宫烤肉餐饮店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昌江县石碌镇山海黎巷二期恒基广场S6号楼二层217、218、219商铺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29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昌江石碌鑫荣烟酒商行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海南-昌江黎族自治县-石碌镇 人民北路国土局旁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中石油海南销售有限公司昌江石碌加油站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海南省昌江县石碌镇生态街（昌江石碌）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31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中石油海南销售有限公司昌江东风加油站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海南省昌江县石碌镇东风路（昌江东风）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32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昌江石碌爱婴宝宝母婴用品店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海南-昌江黎族自治县-石碌镇 华田广场03幢1层030号铺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昌江石碌易创家电馆</w:t>
            </w:r>
          </w:p>
        </w:tc>
        <w:tc>
          <w:tcPr>
            <w:tcW w:w="5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海南-昌江黎族自治县-昌江黎族自治县 人民北路58号</w:t>
            </w:r>
          </w:p>
        </w:tc>
      </w:tr>
    </w:tbl>
    <w:p>
      <w:pPr>
        <w:pStyle w:val="15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pStyle w:val="3"/>
        <w:bidi w:val="0"/>
        <w:rPr>
          <w:rFonts w:hint="eastAsia"/>
          <w:sz w:val="32"/>
          <w:szCs w:val="32"/>
          <w:lang w:val="en-US" w:eastAsia="zh-CN"/>
        </w:rPr>
      </w:pPr>
      <w:bookmarkStart w:id="38" w:name="_Toc21795"/>
      <w:bookmarkStart w:id="39" w:name="_Toc21878"/>
      <w:bookmarkStart w:id="40" w:name="_Toc29529"/>
      <w:bookmarkStart w:id="41" w:name="_Toc22714"/>
      <w:r>
        <w:rPr>
          <w:rFonts w:hint="eastAsia"/>
          <w:sz w:val="32"/>
          <w:szCs w:val="32"/>
          <w:lang w:val="en-US" w:eastAsia="zh-CN"/>
        </w:rPr>
        <w:t>附件2</w:t>
      </w:r>
      <w:bookmarkEnd w:id="38"/>
      <w:r>
        <w:rPr>
          <w:rFonts w:hint="eastAsia"/>
          <w:sz w:val="32"/>
          <w:szCs w:val="32"/>
          <w:lang w:val="en-US" w:eastAsia="zh-CN"/>
        </w:rPr>
        <w:t>：工商银行五一</w:t>
      </w:r>
      <w:bookmarkStart w:id="42" w:name="_GoBack"/>
      <w:bookmarkEnd w:id="42"/>
      <w:r>
        <w:rPr>
          <w:rFonts w:hint="eastAsia"/>
          <w:sz w:val="32"/>
          <w:szCs w:val="32"/>
          <w:lang w:val="en-US" w:eastAsia="zh-CN"/>
        </w:rPr>
        <w:t>放假公告</w:t>
      </w:r>
      <w:bookmarkEnd w:id="39"/>
      <w:bookmarkEnd w:id="40"/>
      <w:bookmarkEnd w:id="41"/>
    </w:p>
    <w:p>
      <w:pPr>
        <w:pStyle w:val="15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607685" cy="4485640"/>
            <wp:effectExtent l="0" t="0" r="12065" b="10160"/>
            <wp:docPr id="24" name="图片 24" descr="附件2：昌江县工商银行2023年“五一劳动节”各营业网点值班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附件2：昌江县工商银行2023年“五一劳动节”各营业网点值班公告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495" w:left="1587" w:header="0" w:footer="992" w:gutter="0"/>
      <w:pgNumType w:fmt="decimal"/>
      <w:cols w:space="720" w:num="1"/>
      <w:formProt w:val="0"/>
      <w:docGrid w:type="lines" w:linePitch="317" w:charSpace="14745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roma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1JoQUV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1JoQ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RBrfc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5EGt9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DEBB26"/>
    <w:multiLevelType w:val="multilevel"/>
    <w:tmpl w:val="CBDEBB26"/>
    <w:lvl w:ilvl="0" w:tentative="0">
      <w:start w:val="2"/>
      <w:numFmt w:val="taiwaneseCountingThousand"/>
      <w:suff w:val="nothing"/>
      <w:lvlText w:val="（%1）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720"/>
  <w:autoHyphenation/>
  <w:evenAndOddHeaders w:val="1"/>
  <w:displayHorizontalDrawingGridEvery w:val="1"/>
  <w:displayVerticalDrawingGridEvery w:val="1"/>
  <w:noPunctuationKerning w:val="1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C0417"/>
    <w:rsid w:val="04A24E1B"/>
    <w:rsid w:val="0C991AA2"/>
    <w:rsid w:val="0D3A0620"/>
    <w:rsid w:val="187E2559"/>
    <w:rsid w:val="368A5F23"/>
    <w:rsid w:val="3F7928D8"/>
    <w:rsid w:val="580048A8"/>
    <w:rsid w:val="5B5F7AB7"/>
    <w:rsid w:val="6B771325"/>
    <w:rsid w:val="790A2288"/>
    <w:rsid w:val="F39287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hi-IN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character" w:customStyle="1" w:styleId="12">
    <w:name w:val="默认段落字体1"/>
    <w:qFormat/>
    <w:uiPriority w:val="0"/>
  </w:style>
  <w:style w:type="character" w:customStyle="1" w:styleId="13">
    <w:name w:val="索引链接"/>
    <w:basedOn w:val="12"/>
    <w:qFormat/>
    <w:uiPriority w:val="0"/>
  </w:style>
  <w:style w:type="paragraph" w:customStyle="1" w:styleId="14">
    <w:name w:val="正文1"/>
    <w:next w:val="15"/>
    <w:qFormat/>
    <w:uiPriority w:val="0"/>
    <w:pPr>
      <w:widowControl/>
      <w:suppressAutoHyphens w:val="0"/>
      <w:bidi w:val="0"/>
      <w:spacing w:beforeLines="0" w:beforeAutospacing="0" w:afterLines="0" w:afterAutospacing="0"/>
      <w:jc w:val="left"/>
    </w:pPr>
    <w:rPr>
      <w:rFonts w:ascii="Times New Roman" w:hAnsi="Times New Roman" w:cs="Times New Roman" w:eastAsiaTheme="minorEastAsia"/>
      <w:color w:val="auto"/>
      <w:kern w:val="0"/>
      <w:sz w:val="24"/>
      <w:szCs w:val="24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left"/>
    </w:pPr>
    <w:rPr>
      <w:rFonts w:ascii="宋体" w:hAnsi="宋体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16">
    <w:name w:val="正文文本1"/>
    <w:basedOn w:val="14"/>
    <w:qFormat/>
    <w:uiPriority w:val="1"/>
    <w:rPr>
      <w:sz w:val="28"/>
      <w:szCs w:val="28"/>
    </w:rPr>
  </w:style>
  <w:style w:type="paragraph" w:customStyle="1" w:styleId="17">
    <w:name w:val="页脚1"/>
    <w:basedOn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bidi="ar-SA"/>
    </w:rPr>
  </w:style>
  <w:style w:type="paragraph" w:customStyle="1" w:styleId="18">
    <w:name w:val="WPSOffice手动目录 1"/>
    <w:qFormat/>
    <w:uiPriority w:val="0"/>
    <w:pPr>
      <w:widowControl/>
      <w:suppressAutoHyphens w:val="0"/>
      <w:bidi w:val="0"/>
      <w:spacing w:beforeLines="0" w:beforeAutospacing="0" w:afterLines="0" w:afterAutospacing="0"/>
      <w:jc w:val="left"/>
    </w:pPr>
    <w:rPr>
      <w:rFonts w:ascii="Times New Roman" w:hAnsi="Times New Roman" w:eastAsia="宋体" w:cs="Times New Roman"/>
      <w:color w:val="auto"/>
      <w:kern w:val="0"/>
      <w:sz w:val="20"/>
      <w:szCs w:val="20"/>
      <w:lang w:val="en-US" w:eastAsia="zh-CN" w:bidi="hi-IN"/>
    </w:rPr>
  </w:style>
  <w:style w:type="paragraph" w:customStyle="1" w:styleId="19">
    <w:name w:val="目录标题"/>
    <w:basedOn w:val="14"/>
    <w:next w:val="14"/>
    <w:qFormat/>
    <w:uiPriority w:val="0"/>
    <w:pPr>
      <w:suppressLineNumbers/>
      <w:jc w:val="center"/>
    </w:pPr>
    <w:rPr>
      <w:rFonts w:ascii="Calibri" w:hAnsi="Calibri" w:eastAsia="宋体" w:cs="Times New Roman"/>
      <w:sz w:val="21"/>
      <w:szCs w:val="24"/>
    </w:rPr>
  </w:style>
  <w:style w:type="paragraph" w:customStyle="1" w:styleId="20">
    <w:name w:val="目录 11"/>
    <w:basedOn w:val="14"/>
    <w:next w:val="14"/>
    <w:qFormat/>
    <w:uiPriority w:val="0"/>
    <w:pPr>
      <w:tabs>
        <w:tab w:val="right" w:leader="dot" w:pos="8845"/>
      </w:tabs>
    </w:pPr>
    <w:rPr>
      <w:rFonts w:ascii="Calibri" w:hAnsi="Calibri" w:eastAsia="宋体" w:cs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847</Words>
  <Characters>938</Characters>
  <Paragraphs>32</Paragraphs>
  <TotalTime>2</TotalTime>
  <ScaleCrop>false</ScaleCrop>
  <LinksUpToDate>false</LinksUpToDate>
  <CharactersWithSpaces>944</CharactersWithSpaces>
  <Application>WPS Office_11.8.2.8411_F1E327BC-269C-435d-A152-05C5408002CA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2022-08-21T22:42:00Z</dcterms:created>
  <dc:creator>谢钰</dc:creator>
  <cp:lastModifiedBy>hahalong</cp:lastModifiedBy>
  <cp:lastPrinted>2022-11-24T10:00:00Z</cp:lastPrinted>
  <dcterms:modified xsi:type="dcterms:W3CDTF">2023-04-30T04:49:53Z</dcterms:modified>
  <dc:title>2022年昌江黎族自治县新能源汽车消费活动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51681EC10B3E4CEB9526DBD3E7D79FD8</vt:lpwstr>
  </property>
  <property fmtid="{D5CDD505-2E9C-101B-9397-08002B2CF9AE}" pid="3" name="KSOProductBuildVer">
    <vt:lpwstr>2052-11.8.2.8411</vt:lpwstr>
  </property>
</Properties>
</file>