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28"/>
          <w:szCs w:val="28"/>
        </w:rPr>
      </w:pPr>
    </w:p>
    <w:p>
      <w:pPr>
        <w:jc w:val="left"/>
        <w:rPr>
          <w:rFonts w:hint="eastAsia" w:ascii="黑体" w:hAnsi="黑体" w:eastAsia="黑体" w:cs="黑体"/>
          <w:sz w:val="28"/>
          <w:szCs w:val="28"/>
        </w:rPr>
      </w:pPr>
    </w:p>
    <w:p>
      <w:pPr>
        <w:jc w:val="left"/>
        <w:rPr>
          <w:rFonts w:hint="eastAsia" w:ascii="黑体" w:hAnsi="黑体" w:eastAsia="黑体" w:cs="黑体"/>
          <w:sz w:val="28"/>
          <w:szCs w:val="28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84"/>
          <w:szCs w:val="84"/>
        </w:rPr>
      </w:pPr>
      <w:r>
        <w:rPr>
          <w:rFonts w:hint="eastAsia" w:ascii="方正小标宋简体" w:hAnsi="方正小标宋简体" w:eastAsia="方正小标宋简体" w:cs="方正小标宋简体"/>
          <w:sz w:val="84"/>
          <w:szCs w:val="84"/>
        </w:rPr>
        <w:pict>
          <v:shape id="_x0000_i1025" o:spt="136" type="#_x0000_t136" style="height:85.75pt;width:383.85pt;" fillcolor="#FF0000" filled="t" stroked="f" coordsize="21600,21600">
            <v:path/>
            <v:fill on="t" focussize="0,0"/>
            <v:stroke on="f"/>
            <v:imagedata o:title=""/>
            <o:lock v:ext="edit" aspectratio="f"/>
            <v:textpath on="t" fitshape="t" fitpath="t" trim="t" xscale="f" string="统计报告" style="font-family:方正小标宋简体;font-size:72pt;v-text-align:center;v-text-spacing:78643f;"/>
            <v:shadow on="t" obscured="f" color="#B2B2B2" opacity="52428f" offset="0.000236220472440945pt,0pt" offset2="-2pt,-2pt"/>
            <w10:wrap type="none"/>
            <w10:anchorlock/>
          </v:shape>
        </w:pict>
      </w:r>
    </w:p>
    <w:p>
      <w:pPr>
        <w:jc w:val="left"/>
        <w:rPr>
          <w:rFonts w:hint="eastAsia" w:ascii="黑体" w:hAnsi="黑体" w:eastAsia="黑体" w:cs="黑体"/>
          <w:sz w:val="28"/>
          <w:szCs w:val="28"/>
        </w:rPr>
      </w:pPr>
    </w:p>
    <w:p>
      <w:pPr>
        <w:jc w:val="left"/>
        <w:rPr>
          <w:rFonts w:hint="eastAsia" w:ascii="黑体" w:hAnsi="黑体" w:eastAsia="黑体" w:cs="黑体"/>
          <w:sz w:val="28"/>
          <w:szCs w:val="28"/>
        </w:rPr>
      </w:pPr>
    </w:p>
    <w:p>
      <w:pPr>
        <w:jc w:val="center"/>
        <w:rPr>
          <w:rFonts w:hint="eastAsia" w:ascii="楷体_GB2312" w:hAnsi="楷体_GB2312" w:eastAsia="楷体_GB2312" w:cs="楷体_GB2312"/>
          <w:sz w:val="28"/>
          <w:szCs w:val="28"/>
        </w:rPr>
      </w:pPr>
      <w:r>
        <w:rPr>
          <w:rFonts w:hint="eastAsia" w:ascii="楷体_GB2312" w:hAnsi="楷体_GB2312" w:eastAsia="楷体_GB2312" w:cs="楷体_GB2312"/>
          <w:sz w:val="28"/>
          <w:szCs w:val="28"/>
        </w:rPr>
        <w:t>第</w:t>
      </w:r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 xml:space="preserve"> 3</w:t>
      </w:r>
      <w:bookmarkStart w:id="0" w:name="_GoBack"/>
      <w:bookmarkEnd w:id="0"/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 xml:space="preserve"> </w:t>
      </w:r>
      <w:r>
        <w:rPr>
          <w:rFonts w:hint="eastAsia" w:ascii="楷体_GB2312" w:hAnsi="楷体_GB2312" w:eastAsia="楷体_GB2312" w:cs="楷体_GB2312"/>
          <w:sz w:val="28"/>
          <w:szCs w:val="28"/>
        </w:rPr>
        <w:t>期</w:t>
      </w:r>
    </w:p>
    <w:p>
      <w:pPr>
        <w:pStyle w:val="3"/>
        <w:rPr>
          <w:rFonts w:hint="eastAsia" w:ascii="楷体_GB2312" w:hAnsi="楷体_GB2312" w:eastAsia="楷体_GB2312" w:cs="楷体_GB2312"/>
          <w:b w:val="0"/>
          <w:bCs w:val="0"/>
          <w:sz w:val="28"/>
          <w:szCs w:val="28"/>
        </w:rPr>
      </w:pPr>
    </w:p>
    <w:p>
      <w:pPr>
        <w:rPr>
          <w:color w:val="auto"/>
        </w:rPr>
      </w:pPr>
      <w:r>
        <w:rPr>
          <w:color w:val="auto"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379730</wp:posOffset>
                </wp:positionV>
                <wp:extent cx="5328920" cy="635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28920" cy="635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3.85pt;margin-top:29.9pt;height:0.05pt;width:419.6pt;z-index:251658240;mso-width-relative:page;mso-height-relative:page;" filled="f" stroked="t" coordsize="21600,21600" o:gfxdata="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onPFl9kAAAAIAQAADwAA&#10;AAAAAAABACAAAAAiAAAAZHJzL2Rvd25yZXYueG1sUEsBAhQAFAAAAAgAh07iQHn6yMfcAQAAmQMA&#10;AA4AAAAAAAAAAQAgAAAAKAEAAGRycy9lMm9Eb2MueG1sUEsFBgAAAAAGAAYAWQEAAHYFAAAAAA==&#10;">
                <v:fill on="f" focussize="0,0"/>
                <v:stroke weight="1.5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楷体_GB2312" w:hAnsi="楷体_GB2312" w:eastAsia="楷体_GB2312" w:cs="楷体_GB2312"/>
          <w:color w:val="auto"/>
          <w:sz w:val="28"/>
          <w:szCs w:val="28"/>
        </w:rPr>
        <w:t>昌江黎族自治县统计局 编                     2020年4月2</w:t>
      </w:r>
      <w:r>
        <w:rPr>
          <w:rFonts w:hint="eastAsia" w:ascii="楷体_GB2312" w:hAnsi="楷体_GB2312" w:eastAsia="楷体_GB2312" w:cs="楷体_GB2312"/>
          <w:color w:val="auto"/>
          <w:sz w:val="28"/>
          <w:szCs w:val="28"/>
          <w:lang w:val="en-US" w:eastAsia="zh-CN"/>
        </w:rPr>
        <w:t>6</w:t>
      </w:r>
      <w:r>
        <w:rPr>
          <w:rFonts w:hint="eastAsia" w:ascii="楷体_GB2312" w:hAnsi="楷体_GB2312" w:eastAsia="楷体_GB2312" w:cs="楷体_GB2312"/>
          <w:color w:val="auto"/>
          <w:sz w:val="28"/>
          <w:szCs w:val="28"/>
        </w:rPr>
        <w:t>日</w:t>
      </w:r>
    </w:p>
    <w:p>
      <w:pPr>
        <w:pStyle w:val="2"/>
        <w:rPr>
          <w:rFonts w:hint="eastAsia"/>
        </w:rPr>
      </w:pPr>
    </w:p>
    <w:p>
      <w:pPr>
        <w:jc w:val="center"/>
        <w:rPr>
          <w:rFonts w:hint="eastAsia" w:ascii="华文中宋" w:hAnsi="华文中宋" w:eastAsia="华文中宋" w:cs="华文中宋"/>
          <w:b/>
          <w:bCs/>
          <w:color w:val="auto"/>
          <w:sz w:val="44"/>
          <w:szCs w:val="44"/>
        </w:rPr>
      </w:pPr>
      <w:r>
        <w:rPr>
          <w:rFonts w:hint="eastAsia" w:ascii="华文中宋" w:hAnsi="华文中宋" w:eastAsia="华文中宋" w:cs="华文中宋"/>
          <w:b/>
          <w:bCs/>
          <w:color w:val="auto"/>
          <w:sz w:val="44"/>
          <w:szCs w:val="44"/>
        </w:rPr>
        <w:t>2020年一季度昌江县固定资产投资分析</w:t>
      </w:r>
    </w:p>
    <w:p>
      <w:pPr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新冠肺炎疫情发生以来，县委、县政府认真贯彻落实统筹疫情防控和经济社会发展工作会议精神，积极做好疫情防控和复工复产工作，全县各建设项目陆续恢复施工，形势逐步向好。一季度，受疫情影响，全县固定资产投资完成情况不容乐观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全县固定资产投资完成仅28180万元，同比下降8.6%，低于全省水平7个百分点，增速排名全省第12。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</w:rPr>
        <w:t>一、固定资产投资</w:t>
      </w: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eastAsia="zh-CN"/>
        </w:rPr>
        <w:t>的主要特点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lang w:val="en-US" w:eastAsia="zh-CN"/>
        </w:rPr>
        <w:t>（一）投资项目有所增加。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2"/>
          <w:sz w:val="32"/>
          <w:szCs w:val="32"/>
          <w:lang w:val="en-US" w:eastAsia="zh-CN" w:bidi="ar-SA"/>
        </w:rPr>
        <w:t>一季度，全县固定资产投资项目56个，比上年同期增加12个；其中，房地产项目13个，比上年同期减少1个；非房地产项目43个，比上年同期增加13个。新开工项目1个，与上年同期持平。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lang w:val="en-US" w:eastAsia="zh-CN"/>
        </w:rPr>
        <w:t>（二）非房投资下降幅度较大。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2"/>
          <w:sz w:val="32"/>
          <w:szCs w:val="32"/>
          <w:lang w:val="en-US" w:eastAsia="zh-CN" w:bidi="ar-SA"/>
        </w:rPr>
        <w:t>一季度，全县固定资产投资完成28180万元，较上年同期减少2666万元，同比下降8.6%，其中，房地产投资完成12949万元，较上年同期增加317万元，同比增长2.5%，占固定资产投资额的46.0%；非房地产投资完成15231万元，比上年同期减少2983万元，同比下降16.4%，占固定资产投资额的54.0%。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lang w:eastAsia="zh-CN"/>
        </w:rPr>
        <w:t>（三）建安工程为主要支撑力量。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一季度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，从全县固定资产投资的构成情况看，以建安工程为主，其他费用次之，设备工器具购置最少。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建安工程完成投资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20573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万元，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较上年同期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减少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6309万元，同比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下降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23.5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%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占固定资产投资的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73.0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%；设备工器具购置完成投资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722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万元，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较上年同期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减少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215万元，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同比下降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22.9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%，占固定资产投资的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2.56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%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其他费用完成投资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6885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万元，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较上年同期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增加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3858万元，同比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增长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127.5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%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占固定资产投资的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24.43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%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lang w:eastAsia="zh-CN"/>
        </w:rPr>
        <w:t>（四）政府投资项目进展缓慢。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一季度，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政府投资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完成7763万元，同比下降20.8%；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社会投资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完成21049万元，同比下降3.0%。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黑体" w:hAnsi="黑体" w:eastAsia="黑体" w:cs="黑体"/>
          <w:b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二、存在问题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楷体" w:hAnsi="楷体" w:eastAsia="楷体" w:cs="楷体"/>
          <w:b/>
          <w:bCs/>
          <w:color w:val="auto"/>
          <w:kern w:val="0"/>
          <w:sz w:val="32"/>
          <w:szCs w:val="32"/>
          <w:lang w:val="en-US" w:eastAsia="zh-CN" w:bidi="ar"/>
        </w:rPr>
        <w:t>（一）超三成在建项目投资为零。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一季度，投资量为0的项目共18个，占全县投资项目的33%，其中政府投资项目11个，社会投资项目7个；源于部分项目资金支付进度滞后于施工进度，从而影响了全县固定资产投资进度。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楷体" w:hAnsi="楷体" w:eastAsia="楷体" w:cs="楷体"/>
          <w:b/>
          <w:bCs/>
          <w:color w:val="auto"/>
          <w:kern w:val="0"/>
          <w:sz w:val="32"/>
          <w:szCs w:val="32"/>
          <w:lang w:val="en-US" w:eastAsia="zh-CN" w:bidi="ar"/>
        </w:rPr>
        <w:t>（二）项目复工受阻。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 w:bidi="ar"/>
        </w:rPr>
        <w:t>受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春节假期和疫情的双重影响，项目施工单位无法按既定工期返工，施工所需的设备、材料受疫情期间交通管制、观察隔离、物流管控等因素影响，项目施工进度均有所放缓。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 w:val="0"/>
          <w:color w:val="auto"/>
          <w:sz w:val="32"/>
          <w:szCs w:val="32"/>
          <w:lang w:val="en-US" w:eastAsia="zh-CN"/>
        </w:rPr>
        <w:t>（三）部分政府投资项目资金尚未到位。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今年政府投资项目28个，县财政预算未安排资金的项目5个，包括县疾控中心新建改造工程、2019年电缆沟建设项目、青少年活动中心装饰工程、多馆合一建设工程（一期主体部分）、太坡旧城改造项目，因项目资金未到位，处于停滞状态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 w:val="0"/>
          <w:color w:val="auto"/>
          <w:sz w:val="32"/>
          <w:szCs w:val="32"/>
          <w:lang w:val="en-US" w:eastAsia="zh-CN"/>
        </w:rPr>
        <w:t>（四）征地拆迁进展缓慢影响项目施工。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多馆合一建设工程（一期主体部分），因核电供水管线尚未完成迁移，项目几乎处于停滞状态；“四河一渠”环境综合整治项目因部分区段房屋未及时拆迁，影响项目推进；农村公路六大工程项目，局部道路涉及道路改线，需要调整征地范围，项目进展缓慢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楷体" w:hAnsi="楷体" w:eastAsia="楷体" w:cs="楷体"/>
          <w:b/>
          <w:bCs/>
          <w:color w:val="auto"/>
          <w:kern w:val="0"/>
          <w:sz w:val="32"/>
          <w:szCs w:val="32"/>
          <w:lang w:val="en-US" w:eastAsia="zh-CN" w:bidi="ar"/>
        </w:rPr>
        <w:t>（五）部分政府投资项目无法纳统。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 w:bidi="ar"/>
        </w:rPr>
        <w:t>部分政府投资项目没有统一立项，项目分散到各个乡镇后，单个项目投资规模较小（小于500万元），导致相当一部分项目按照统计制度规定无法纳统，流失了部分投资额。如各乡镇美丽乡村建设项目计划投资8000万元，目前已纳统的项目计划投资总额共3269万元，其余如里表村、南罗村、五大村美丽乡村建设项目建设资金分别为320万元、350万元、88万元等，达不到500万元的标准无法纳统。各乡镇卫生院标准化建设项目计划投资14600万元，目前已纳统项目计划投资总额5216万元，其余15个项目均达不到500万元/个的要求无法纳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3" w:firstLineChars="200"/>
        <w:jc w:val="both"/>
        <w:textAlignment w:val="auto"/>
        <w:outlineLvl w:val="9"/>
        <w:rPr>
          <w:rFonts w:hint="eastAsia" w:ascii="黑体" w:hAnsi="黑体" w:eastAsia="黑体" w:cs="黑体"/>
          <w:b/>
          <w:color w:val="auto"/>
          <w:sz w:val="32"/>
          <w:szCs w:val="32"/>
        </w:rPr>
      </w:pPr>
      <w:r>
        <w:rPr>
          <w:rFonts w:hint="eastAsia" w:ascii="黑体" w:hAnsi="黑体" w:eastAsia="黑体" w:cs="黑体"/>
          <w:b/>
          <w:color w:val="auto"/>
          <w:sz w:val="32"/>
          <w:szCs w:val="32"/>
          <w:lang w:eastAsia="zh-CN"/>
        </w:rPr>
        <w:t>三</w:t>
      </w:r>
      <w:r>
        <w:rPr>
          <w:rFonts w:hint="eastAsia" w:ascii="黑体" w:hAnsi="黑体" w:eastAsia="黑体" w:cs="黑体"/>
          <w:b/>
          <w:color w:val="auto"/>
          <w:sz w:val="32"/>
          <w:szCs w:val="32"/>
        </w:rPr>
        <w:t>、工作建议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一季度，从全省各市县固定资产投资完成情况来看，昌江县完成投资量为全省最少。若要实现全年10%的增长目标，从4月份起，每月需完成5.56亿元的投资量，时间紧迫，任务艰巨，须“以时不我待”的勇气和决心，采取超常规举措，开足马力，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时间抢回来、损失补回来、影响的工期夺回来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lang w:val="en-US" w:eastAsia="zh-CN"/>
        </w:rPr>
        <w:t>（一）加快项目支付进度。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针对前3个月部分项目建设资金支付进度相对滞后，各责任单位要认真研究当前项目施工过程中存在的问题，保证项目建设资金落实到位，按序时进度支付建设资金，保障项目施工与资金支付同步进行。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lang w:val="en-US" w:eastAsia="zh-CN"/>
        </w:rPr>
        <w:t>（二）整合政府投资项目。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针对存在政府投资项目分散造成单个项目投资额较小无法纳统，要精心筹划，及早准备，对同一类型或同一性质的项目，尽可能以县级部门或乡镇为单位统一立项审批，避免项目因分散无法入库统计而流失了相当部分的投资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lang w:val="en-US" w:eastAsia="zh-CN"/>
        </w:rPr>
        <w:t>（三）保障项目建设资金。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各项目责任单位要积极主动与省、县机关部门对接沟通，积极争取上级资金，以缓解我县财政压力；此外，财政、住建等部门要主动争取省里的政策和资金的支持，及时做好资金的测算、申报工作，确保项目按计划推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lang w:val="en-US" w:eastAsia="zh-CN"/>
        </w:rPr>
        <w:t>（四）</w:t>
      </w:r>
      <w:r>
        <w:rPr>
          <w:rFonts w:hint="eastAsia" w:ascii="楷体" w:hAnsi="楷体" w:eastAsia="楷体" w:cs="楷体"/>
          <w:b/>
          <w:bCs/>
          <w:color w:val="auto"/>
          <w:kern w:val="0"/>
          <w:sz w:val="32"/>
          <w:szCs w:val="32"/>
          <w:lang w:val="en-US" w:eastAsia="zh-CN" w:bidi="ar-SA"/>
        </w:rPr>
        <w:t>加强项目服务保障。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对于存在用地、拆迁等影响施工的项目，各有关部门要加强跟踪指导和服务工作，及时解决项目规划和用地手续审批问题，着力解决征地拆迁，加快推进项目建设。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lang w:val="en-US" w:eastAsia="zh-CN"/>
        </w:rPr>
        <w:t>（五）精心筹划项目储备。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要在项目储备上下功夫，把前期工作做实做细，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县行业主管部门和发改委等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有关部门要提前介入、加快审批，形成一批高质量的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成熟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的重点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储备项目，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具备条件的储备项目尽早开工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建设，增强投资和发展后劲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pStyle w:val="3"/>
        <w:rPr>
          <w:rFonts w:hint="eastAsia" w:ascii="仿宋_GB2312" w:hAnsi="仿宋_GB2312" w:eastAsia="仿宋_GB2312" w:cs="仿宋_GB2312"/>
          <w:color w:val="auto"/>
        </w:rPr>
      </w:pPr>
    </w:p>
    <w:p>
      <w:pPr>
        <w:pStyle w:val="3"/>
        <w:rPr>
          <w:rFonts w:hint="eastAsia"/>
          <w:color w:val="auto"/>
        </w:rPr>
      </w:pPr>
    </w:p>
    <w:p>
      <w:pPr>
        <w:pStyle w:val="3"/>
        <w:rPr>
          <w:rFonts w:hint="eastAsia"/>
          <w:color w:val="auto"/>
        </w:rPr>
      </w:pP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br w:type="page"/>
      </w:r>
    </w:p>
    <w:p>
      <w:pPr>
        <w:rPr>
          <w:rFonts w:hint="eastAsia"/>
          <w:color w:val="auto"/>
        </w:rPr>
      </w:pPr>
    </w:p>
    <w:p>
      <w:pPr>
        <w:pStyle w:val="2"/>
        <w:rPr>
          <w:rFonts w:hint="eastAsia"/>
          <w:color w:val="auto"/>
        </w:rPr>
      </w:pPr>
    </w:p>
    <w:p>
      <w:pPr>
        <w:pStyle w:val="2"/>
        <w:rPr>
          <w:rFonts w:hint="eastAsia"/>
          <w:color w:val="auto"/>
        </w:rPr>
      </w:pPr>
    </w:p>
    <w:p>
      <w:pPr>
        <w:pStyle w:val="2"/>
        <w:rPr>
          <w:rFonts w:hint="eastAsia"/>
          <w:color w:val="auto"/>
        </w:rPr>
      </w:pPr>
    </w:p>
    <w:p>
      <w:pPr>
        <w:pStyle w:val="2"/>
        <w:rPr>
          <w:rFonts w:hint="eastAsia"/>
          <w:color w:val="auto"/>
        </w:rPr>
      </w:pPr>
    </w:p>
    <w:p>
      <w:pPr>
        <w:pStyle w:val="2"/>
        <w:rPr>
          <w:rFonts w:hint="eastAsia"/>
          <w:color w:val="auto"/>
        </w:rPr>
      </w:pPr>
    </w:p>
    <w:p>
      <w:pPr>
        <w:pStyle w:val="2"/>
        <w:rPr>
          <w:rFonts w:hint="eastAsia"/>
          <w:color w:val="auto"/>
        </w:rPr>
      </w:pPr>
    </w:p>
    <w:p>
      <w:pPr>
        <w:pStyle w:val="2"/>
        <w:rPr>
          <w:rFonts w:hint="eastAsia"/>
          <w:color w:val="auto"/>
        </w:rPr>
      </w:pPr>
    </w:p>
    <w:p>
      <w:pPr>
        <w:pStyle w:val="2"/>
        <w:rPr>
          <w:rFonts w:hint="eastAsia"/>
          <w:color w:val="auto"/>
        </w:rPr>
      </w:pPr>
    </w:p>
    <w:p>
      <w:pPr>
        <w:pStyle w:val="2"/>
        <w:rPr>
          <w:rFonts w:hint="eastAsia"/>
          <w:color w:val="auto"/>
        </w:rPr>
      </w:pPr>
    </w:p>
    <w:p>
      <w:pPr>
        <w:pStyle w:val="2"/>
        <w:rPr>
          <w:rFonts w:hint="eastAsia"/>
          <w:color w:val="auto"/>
        </w:rPr>
      </w:pPr>
    </w:p>
    <w:p>
      <w:pPr>
        <w:pStyle w:val="2"/>
        <w:rPr>
          <w:rFonts w:hint="eastAsia"/>
          <w:color w:val="auto"/>
        </w:rPr>
      </w:pPr>
    </w:p>
    <w:p>
      <w:pPr>
        <w:pStyle w:val="2"/>
        <w:rPr>
          <w:rFonts w:hint="eastAsia"/>
          <w:color w:val="auto"/>
        </w:rPr>
      </w:pPr>
    </w:p>
    <w:p>
      <w:pPr>
        <w:pStyle w:val="2"/>
        <w:rPr>
          <w:rFonts w:hint="eastAsia"/>
          <w:color w:val="auto"/>
        </w:rPr>
      </w:pPr>
    </w:p>
    <w:p>
      <w:pPr>
        <w:pStyle w:val="2"/>
        <w:rPr>
          <w:rFonts w:hint="eastAsia"/>
          <w:color w:val="auto"/>
        </w:rPr>
      </w:pPr>
    </w:p>
    <w:p>
      <w:pPr>
        <w:pStyle w:val="2"/>
        <w:rPr>
          <w:rFonts w:hint="eastAsia"/>
          <w:color w:val="auto"/>
        </w:rPr>
      </w:pPr>
    </w:p>
    <w:p>
      <w:pPr>
        <w:pStyle w:val="2"/>
        <w:rPr>
          <w:rFonts w:hint="eastAsia"/>
          <w:color w:val="auto"/>
        </w:rPr>
      </w:pPr>
    </w:p>
    <w:p>
      <w:pPr>
        <w:pStyle w:val="2"/>
        <w:rPr>
          <w:rFonts w:hint="eastAsia"/>
          <w:color w:val="auto"/>
        </w:rPr>
      </w:pPr>
    </w:p>
    <w:p>
      <w:pPr>
        <w:pStyle w:val="2"/>
        <w:rPr>
          <w:rFonts w:hint="eastAsia"/>
          <w:color w:val="auto"/>
        </w:rPr>
      </w:pPr>
    </w:p>
    <w:p>
      <w:pPr>
        <w:pStyle w:val="2"/>
        <w:rPr>
          <w:rFonts w:hint="eastAsia"/>
          <w:color w:val="auto"/>
        </w:rPr>
      </w:pPr>
    </w:p>
    <w:p>
      <w:pPr>
        <w:pStyle w:val="2"/>
        <w:rPr>
          <w:rFonts w:hint="eastAsia"/>
          <w:color w:val="auto"/>
        </w:rPr>
      </w:pPr>
    </w:p>
    <w:p>
      <w:pPr>
        <w:pStyle w:val="2"/>
        <w:rPr>
          <w:rFonts w:hint="eastAsia"/>
          <w:color w:val="auto"/>
        </w:rPr>
      </w:pPr>
    </w:p>
    <w:p>
      <w:pPr>
        <w:pStyle w:val="2"/>
        <w:rPr>
          <w:rFonts w:hint="eastAsia"/>
          <w:color w:val="auto"/>
        </w:rPr>
      </w:pPr>
    </w:p>
    <w:p>
      <w:pPr>
        <w:pStyle w:val="2"/>
        <w:rPr>
          <w:rFonts w:hint="eastAsia"/>
          <w:color w:val="auto"/>
        </w:rPr>
      </w:pPr>
    </w:p>
    <w:p>
      <w:pPr>
        <w:pStyle w:val="2"/>
        <w:rPr>
          <w:rFonts w:hint="eastAsia"/>
          <w:color w:val="auto"/>
        </w:rPr>
      </w:pPr>
    </w:p>
    <w:p>
      <w:pPr>
        <w:pStyle w:val="2"/>
        <w:rPr>
          <w:rFonts w:hint="eastAsia"/>
          <w:color w:val="auto"/>
        </w:rPr>
      </w:pPr>
    </w:p>
    <w:p>
      <w:pPr>
        <w:pStyle w:val="2"/>
        <w:rPr>
          <w:rFonts w:hint="eastAsia"/>
          <w:color w:val="auto"/>
        </w:rPr>
      </w:pPr>
    </w:p>
    <w:p>
      <w:pPr>
        <w:pStyle w:val="2"/>
        <w:rPr>
          <w:rFonts w:hint="eastAsia"/>
          <w:color w:val="auto"/>
        </w:rPr>
      </w:pPr>
    </w:p>
    <w:p>
      <w:pPr>
        <w:rPr>
          <w:rFonts w:hint="eastAsia"/>
          <w:color w:val="auto"/>
        </w:rPr>
      </w:pPr>
    </w:p>
    <w:p>
      <w:pPr>
        <w:pStyle w:val="3"/>
        <w:rPr>
          <w:rFonts w:hint="eastAsia"/>
          <w:color w:val="auto"/>
        </w:rPr>
      </w:pPr>
    </w:p>
    <w:p>
      <w:pPr>
        <w:pStyle w:val="3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-58420</wp:posOffset>
                </wp:positionH>
                <wp:positionV relativeFrom="paragraph">
                  <wp:posOffset>556260</wp:posOffset>
                </wp:positionV>
                <wp:extent cx="5219700" cy="9525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19700" cy="952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4.6pt;margin-top:43.8pt;height:0.75pt;width:411pt;z-index:251659264;mso-width-relative:page;mso-height-relative:page;" filled="f" stroked="t" coordsize="21600,21600" o:gfxdata="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l9Up79cAAAAIAQAA&#10;DwAAAAAAAAABACAAAAAiAAAAZHJzL2Rvd25yZXYueG1sUEsBAhQAFAAAAAgAh07iQHyL73LhAQAA&#10;owMAAA4AAAAAAAAAAQAgAAAAJgEAAGRycy9lMm9Eb2MueG1sUEsFBgAAAAAGAAYAWQEAAHkFAAAA&#10;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ind w:left="960" w:hanging="960" w:hangingChars="30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报：县委书记、副书记，县委常委，县人大常委会主任、</w:t>
      </w:r>
    </w:p>
    <w:p>
      <w:pPr>
        <w:ind w:left="958" w:leftChars="304" w:hanging="320" w:hangingChars="10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副主任，县政府县长、副县长，县政协主席、副主席。</w:t>
      </w:r>
    </w:p>
    <w:p>
      <w:pPr>
        <w:pStyle w:val="3"/>
        <w:spacing w:before="0" w:after="0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370205</wp:posOffset>
                </wp:positionV>
                <wp:extent cx="5200650" cy="635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0065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3.85pt;margin-top:29.15pt;height:0.05pt;width:409.5pt;z-index:251660288;mso-width-relative:page;mso-height-relative:page;" filled="f" stroked="t" coordsize="21600,21600" o:gfxdata="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IOjcbrXAAAACAEAAA8AAAAAAAAA&#10;AQAgAAAAIgAAAGRycy9kb3ducmV2LnhtbFBLAQIUABQAAAAIAIdO4kAtD3cV2QEAAJgDAAAOAAAA&#10;AAAAAAEAIAAAACYBAABkcnMvZTJvRG9jLnhtbFBLBQYAAAAABgAGAFkBAABx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</w:rPr>
        <w:t>送：相关部门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Lines="1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县统计局综合核算统计管理室编印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（共印65份）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Droid Sans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>—</w:t>
                          </w:r>
                          <w:r>
                            <w:rPr>
                              <w:rFonts w:hint="eastAsia" w:ascii="方正小标宋简体" w:hAnsi="方正小标宋简体" w:eastAsia="方正小标宋简体" w:cs="方正小标宋简体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hint="eastAsia" w:ascii="新宋体" w:hAnsi="新宋体" w:eastAsia="新宋体" w:cs="新宋体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新宋体" w:hAnsi="新宋体" w:eastAsia="新宋体" w:cs="新宋体"/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新宋体" w:hAnsi="新宋体" w:eastAsia="新宋体" w:cs="新宋体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新宋体" w:hAnsi="新宋体" w:eastAsia="新宋体" w:cs="新宋体"/>
                              <w:sz w:val="24"/>
                            </w:rPr>
                            <w:t>1</w:t>
                          </w:r>
                          <w:r>
                            <w:rPr>
                              <w:rFonts w:hint="eastAsia" w:ascii="新宋体" w:hAnsi="新宋体" w:eastAsia="新宋体" w:cs="新宋体"/>
                              <w:sz w:val="24"/>
                            </w:rPr>
                            <w:fldChar w:fldCharType="end"/>
                          </w:r>
                          <w:r>
                            <w:rPr>
                              <w:rFonts w:hint="eastAsia" w:ascii="方正小标宋简体" w:hAnsi="方正小标宋简体" w:eastAsia="方正小标宋简体" w:cs="方正小标宋简体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Bmo4M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t>—</w:t>
                    </w:r>
                    <w:r>
                      <w:rPr>
                        <w:rFonts w:hint="eastAsia" w:ascii="方正小标宋简体" w:hAnsi="方正小标宋简体" w:eastAsia="方正小标宋简体" w:cs="方正小标宋简体"/>
                        <w:szCs w:val="21"/>
                      </w:rPr>
                      <w:t xml:space="preserve"> </w:t>
                    </w:r>
                    <w:r>
                      <w:rPr>
                        <w:rFonts w:hint="eastAsia" w:ascii="新宋体" w:hAnsi="新宋体" w:eastAsia="新宋体" w:cs="新宋体"/>
                        <w:sz w:val="24"/>
                      </w:rPr>
                      <w:fldChar w:fldCharType="begin"/>
                    </w:r>
                    <w:r>
                      <w:rPr>
                        <w:rFonts w:hint="eastAsia" w:ascii="新宋体" w:hAnsi="新宋体" w:eastAsia="新宋体" w:cs="新宋体"/>
                        <w:sz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新宋体" w:hAnsi="新宋体" w:eastAsia="新宋体" w:cs="新宋体"/>
                        <w:sz w:val="24"/>
                      </w:rPr>
                      <w:fldChar w:fldCharType="separate"/>
                    </w:r>
                    <w:r>
                      <w:rPr>
                        <w:rFonts w:ascii="新宋体" w:hAnsi="新宋体" w:eastAsia="新宋体" w:cs="新宋体"/>
                        <w:sz w:val="24"/>
                      </w:rPr>
                      <w:t>1</w:t>
                    </w:r>
                    <w:r>
                      <w:rPr>
                        <w:rFonts w:hint="eastAsia" w:ascii="新宋体" w:hAnsi="新宋体" w:eastAsia="新宋体" w:cs="新宋体"/>
                        <w:sz w:val="24"/>
                      </w:rPr>
                      <w:fldChar w:fldCharType="end"/>
                    </w:r>
                    <w:r>
                      <w:rPr>
                        <w:rFonts w:hint="eastAsia" w:ascii="方正小标宋简体" w:hAnsi="方正小标宋简体" w:eastAsia="方正小标宋简体" w:cs="方正小标宋简体"/>
                        <w:szCs w:val="21"/>
                      </w:rPr>
                      <w:t xml:space="preserve"> </w:t>
                    </w:r>
                    <w:r>
                      <w:rPr>
                        <w:rFonts w:hint="eastAsia"/>
                        <w:sz w:val="1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C948F7"/>
    <w:rsid w:val="15C948F7"/>
    <w:rsid w:val="270731E4"/>
    <w:rsid w:val="5997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Droid Sans" w:eastAsia="宋体" w:cs="宋体"/>
      <w:color w:val="000000"/>
      <w:sz w:val="24"/>
      <w:szCs w:val="24"/>
      <w:lang w:val="en-US" w:eastAsia="zh-CN" w:bidi="ar-SA"/>
    </w:rPr>
  </w:style>
  <w:style w:type="paragraph" w:styleId="4">
    <w:name w:val="Body Text Indent"/>
    <w:basedOn w:val="1"/>
    <w:qFormat/>
    <w:uiPriority w:val="0"/>
    <w:pPr>
      <w:ind w:firstLine="780"/>
    </w:pPr>
    <w:rPr>
      <w:sz w:val="2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昌江黎族自治县（石碌镇）</Company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2020-05-06T08:13:00Z</dcterms:created>
  <dc:creator>lenovo</dc:creator>
  <cp:lastModifiedBy>lenovo</cp:lastModifiedBy>
  <dcterms:modified xsi:type="dcterms:W3CDTF">2020-05-09T08:36:03Z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