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昌江黎族自治县统计局　　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昌江黎族自治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县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2020年1-5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月经济运行简况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1-5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我县常态化疫情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防控工作扎实有效，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全县经济继续呈现回暖态势，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固定资产投资和财政收支保持较快增长，工业产值和旅游接待过夜人数降幅收窄。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ascii="黑体" w:hAnsi="宋体" w:eastAsia="黑体" w:cs="宋体"/>
          <w:color w:val="auto"/>
          <w:kern w:val="0"/>
          <w:sz w:val="32"/>
          <w:szCs w:val="32"/>
          <w:shd w:val="clear" w:fill="FFFFFF"/>
          <w:lang w:val="en-US" w:eastAsia="zh-CN" w:bidi="ar"/>
        </w:rPr>
        <w:t>一、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工业产值持续下降，降幅有所放缓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1-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全县规模以上工业完成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38.63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同比（按可比价计算，比上年同期）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下降7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规模以上工业增加值同比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5.1%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，增速全省排名第10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固定资产投资和商品房销售增速回升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1-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固定资产投资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7.55亿元，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增速全省排名第7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房地产开发投资完成额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2.88亿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0.5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增速全省排名第4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；非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房地产开发投资完成额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4.67亿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19.3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1-5月，全县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商品房销售面积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1.24万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平方米，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增速全省排名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第3；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商品房销售额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8683万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0.2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增速全省排名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eastAsia" w:ascii="Calibri" w:hAnsi="宋体" w:eastAsia="黑体" w:cs="黑体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Calibri" w:hAnsi="宋体" w:eastAsia="黑体" w:cs="黑体"/>
          <w:color w:val="auto"/>
          <w:sz w:val="32"/>
          <w:szCs w:val="32"/>
          <w:shd w:val="clear" w:fill="FFFFFF"/>
          <w:lang w:eastAsia="zh-CN"/>
        </w:rPr>
        <w:t>规模以上能源消费量同比下降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 xml:space="preserve">    1-5月，全县规模以上能源消费58.36万吨标准煤，同比下降11.7%，增速全省排名第14。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四、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旅游接待过夜人数同比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下降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1-5月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旅游接待过夜人数达24.53万人次，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59.3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增速全省排名第12。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财政收支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高速增长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1-5月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全县地方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5.71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增速全省排名第1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；全县地方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公共预算支出完成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增速全省排名第7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银行信贷业稳健运行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5月末，全县金融机构人民币存款余额113.41亿元，同比增长4.06%，其中，住户存款余额70.35亿元，同比增长6.64%；全县金融机构人民币贷款余额52.06亿元，同比增长4.19%。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outlineLvl w:val="9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、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</w:rPr>
        <w:t>月份环境空气质量综合指数排名</w:t>
      </w:r>
      <w:r>
        <w:rPr>
          <w:rFonts w:hint="eastAsia" w:ascii="黑体" w:hAnsi="宋体" w:eastAsia="黑体" w:cs="黑体"/>
          <w:color w:val="auto"/>
          <w:sz w:val="32"/>
          <w:szCs w:val="32"/>
          <w:shd w:val="clear" w:fill="FFFFFF"/>
          <w:lang w:eastAsia="zh-CN"/>
        </w:rPr>
        <w:t>靠后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64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440" w:right="1746" w:bottom="930" w:left="174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，昌江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空气质量综合指数（AQI）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1.956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，全省排名第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名。其中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PM10浓度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32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微克/立方米，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同比增长10.3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%；PM2.5浓度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微克/立方米，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与上年同期持平</w:t>
      </w:r>
      <w:r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-</w:t>
      </w: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全县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主要经济指标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完成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/>
        <w:jc w:val="both"/>
        <w:textAlignment w:val="auto"/>
        <w:outlineLvl w:val="9"/>
        <w:rPr>
          <w:rFonts w:hint="default" w:ascii="仿宋_GB2312" w:hAnsi="微软雅黑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799"/>
        <w:gridCol w:w="1185"/>
        <w:gridCol w:w="1184"/>
        <w:gridCol w:w="863"/>
        <w:gridCol w:w="978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4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指  标  名  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计算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1-5月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累计数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其中：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月份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比上年同期增长%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累计增速全省排名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34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累计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其中：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月份</w:t>
            </w: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规模以上工业产值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386316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99553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-7.0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4.9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二、规模以上工业增加值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-5.1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0" w:right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三、规模以上工业能源消费量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吨标准煤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583612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153995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-11.7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-1.9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/>
                <w:sz w:val="24"/>
                <w:szCs w:val="24"/>
              </w:rPr>
              <w:t>、固定资产投资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75530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22818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10.9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-6.42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其中：房地产开发投资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28797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10265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-0.5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-2.48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8"/>
              </w:tabs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五、房屋销售面积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万平方米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1.24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1.03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7.3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5050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8"/>
              </w:tabs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六、房屋销售额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28"/>
              </w:tabs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8683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0.2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14.29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七、外贸进出口总额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-5.5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-56.0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八、旅游接待过夜人数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万人次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24.53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7.14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-59.3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-35.4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宋体" w:hAnsi="宋体"/>
                <w:sz w:val="24"/>
                <w:szCs w:val="24"/>
              </w:rPr>
              <w:t>地方公共财政预算收入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57113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5169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-19.2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地方公共财政预算支出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100765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14045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-26.8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十、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人民币</w:t>
            </w:r>
            <w:r>
              <w:rPr>
                <w:rFonts w:hint="eastAsia" w:ascii="宋体" w:hAnsi="宋体"/>
                <w:sz w:val="24"/>
                <w:szCs w:val="24"/>
              </w:rPr>
              <w:t>存款余额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1134088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4.06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其中：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住户</w:t>
            </w:r>
            <w:r>
              <w:rPr>
                <w:rFonts w:hint="eastAsia" w:ascii="宋体" w:hAnsi="宋体"/>
                <w:sz w:val="24"/>
                <w:szCs w:val="24"/>
              </w:rPr>
              <w:t>存款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703542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6.64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0" w:leftChars="0" w:right="0" w:righ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十一、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人民币</w:t>
            </w:r>
            <w:r>
              <w:rPr>
                <w:rFonts w:hint="eastAsia" w:ascii="宋体" w:hAnsi="宋体"/>
                <w:sz w:val="24"/>
                <w:szCs w:val="24"/>
              </w:rPr>
              <w:t>贷款余额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万元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520609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7D7B7"/>
    <w:multiLevelType w:val="singleLevel"/>
    <w:tmpl w:val="B987D7B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A3A8D"/>
    <w:rsid w:val="043C3E4B"/>
    <w:rsid w:val="05DC7859"/>
    <w:rsid w:val="0B4F037A"/>
    <w:rsid w:val="0CE873B6"/>
    <w:rsid w:val="15B3126D"/>
    <w:rsid w:val="15CF14DE"/>
    <w:rsid w:val="1ADC2744"/>
    <w:rsid w:val="1CCB6CE6"/>
    <w:rsid w:val="230B30C6"/>
    <w:rsid w:val="257A3F47"/>
    <w:rsid w:val="26E1661A"/>
    <w:rsid w:val="2FEF0438"/>
    <w:rsid w:val="345D2CB1"/>
    <w:rsid w:val="3D346381"/>
    <w:rsid w:val="3D3E1A11"/>
    <w:rsid w:val="40167AAA"/>
    <w:rsid w:val="417E2E5C"/>
    <w:rsid w:val="419674D1"/>
    <w:rsid w:val="42303035"/>
    <w:rsid w:val="427D49A9"/>
    <w:rsid w:val="4492083A"/>
    <w:rsid w:val="45DE6F45"/>
    <w:rsid w:val="46814D23"/>
    <w:rsid w:val="4CAF0B13"/>
    <w:rsid w:val="52EF6CD5"/>
    <w:rsid w:val="53662DF6"/>
    <w:rsid w:val="536A7E0B"/>
    <w:rsid w:val="558C4A96"/>
    <w:rsid w:val="55C32EC2"/>
    <w:rsid w:val="5A5D6F4E"/>
    <w:rsid w:val="5AC46FF2"/>
    <w:rsid w:val="5EF06D0C"/>
    <w:rsid w:val="60D574B1"/>
    <w:rsid w:val="66423814"/>
    <w:rsid w:val="673D2109"/>
    <w:rsid w:val="69F1488C"/>
    <w:rsid w:val="6D382429"/>
    <w:rsid w:val="6E804BC1"/>
    <w:rsid w:val="6E9C4E92"/>
    <w:rsid w:val="6EDC3A5E"/>
    <w:rsid w:val="6F436771"/>
    <w:rsid w:val="72C655E4"/>
    <w:rsid w:val="739327D0"/>
    <w:rsid w:val="73FE6D32"/>
    <w:rsid w:val="74B83A76"/>
    <w:rsid w:val="757F03D8"/>
    <w:rsid w:val="7916747B"/>
    <w:rsid w:val="7A6277AC"/>
    <w:rsid w:val="7CCE21EF"/>
    <w:rsid w:val="7CE54EF1"/>
    <w:rsid w:val="7D304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hover9"/>
    <w:basedOn w:val="4"/>
    <w:qFormat/>
    <w:uiPriority w:val="0"/>
    <w:rPr>
      <w:color w:val="0063B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2020-06-17T07:54:28Z</cp:lastPrinted>
  <dcterms:modified xsi:type="dcterms:W3CDTF">2020-06-17T07:59:14Z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