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昌江黎族自治县202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sz w:val="44"/>
          <w:szCs w:val="44"/>
        </w:rPr>
        <w:t>年度国内海洋</w:t>
      </w:r>
    </w:p>
    <w:p>
      <w:pPr>
        <w:spacing w:line="59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捕捞渔船渔业资源养护补贴发放实施方案</w:t>
      </w:r>
      <w:bookmarkStart w:id="0" w:name="_GoBack"/>
      <w:bookmarkEnd w:id="0"/>
    </w:p>
    <w:p>
      <w:pPr>
        <w:adjustRightInd w:val="0"/>
        <w:snapToGrid w:val="0"/>
        <w:spacing w:line="590" w:lineRule="exact"/>
        <w:ind w:firstLine="640" w:firstLineChars="200"/>
        <w:jc w:val="center"/>
        <w:rPr>
          <w:rFonts w:ascii="仿宋" w:hAnsi="仿宋" w:eastAsia="仿宋" w:cs="仿宋"/>
          <w:sz w:val="32"/>
          <w:szCs w:val="32"/>
        </w:rPr>
      </w:pPr>
    </w:p>
    <w:p>
      <w:pPr>
        <w:adjustRightInd w:val="0"/>
        <w:snapToGrid w:val="0"/>
        <w:spacing w:beforeLines="0" w:afterLines="0"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为了贯彻落实“十四五”国内海洋捕捞渔船渔业资源养护补贴政策，切实做好202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年度海洋捕捞渔船渔业资源养护补贴发放工作，促进渔业可持续健康发展，根据《农业农村部办公厅 财政部办公厅关于实施海洋渔业资源养护补贴政策的通知》(农办计财〔2021〕44号）及《海南省农业农村厅关于</w:t>
      </w:r>
      <w:r>
        <w:rPr>
          <w:rFonts w:hint="eastAsia" w:ascii="仿宋_GB2312" w:hAnsi="仿宋_GB2312" w:eastAsia="仿宋_GB2312" w:cs="仿宋_GB2312"/>
          <w:sz w:val="32"/>
          <w:szCs w:val="32"/>
          <w:lang w:eastAsia="zh-CN"/>
        </w:rPr>
        <w:t>印发海南省</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年度国内海洋捕捞渔船渔业资源养护补贴发放工作</w:t>
      </w:r>
      <w:r>
        <w:rPr>
          <w:rFonts w:hint="eastAsia" w:ascii="仿宋_GB2312" w:hAnsi="仿宋_GB2312" w:eastAsia="仿宋_GB2312" w:cs="仿宋_GB2312"/>
          <w:sz w:val="32"/>
          <w:szCs w:val="32"/>
          <w:lang w:eastAsia="zh-CN"/>
        </w:rPr>
        <w:t>方案的通知</w:t>
      </w:r>
      <w:r>
        <w:rPr>
          <w:rFonts w:hint="eastAsia" w:ascii="仿宋_GB2312" w:hAnsi="仿宋_GB2312" w:eastAsia="仿宋_GB2312" w:cs="仿宋_GB2312"/>
          <w:sz w:val="32"/>
          <w:szCs w:val="32"/>
        </w:rPr>
        <w:t>》（琼农</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号）精神的要求，结合我县实际，制定本方案。</w:t>
      </w:r>
    </w:p>
    <w:p>
      <w:pPr>
        <w:adjustRightInd w:val="0"/>
        <w:snapToGrid w:val="0"/>
        <w:spacing w:beforeLines="0" w:after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着“生产优先、民生为本、总体稳定、分类实施、便于执行”的原则，按照渔船属地管理和“市县长负责制”，综合考虑不同作业类型、不同大小的渔船实行海洋伏季休渔制度和负责任捕捞对降低捕捞强度、养护海洋渔业资源的成效，对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海洋捕捞渔船进行分类补助。</w:t>
      </w:r>
    </w:p>
    <w:p>
      <w:pPr>
        <w:adjustRightInd w:val="0"/>
        <w:snapToGrid w:val="0"/>
        <w:spacing w:beforeLines="0" w:after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二、资金来源</w:t>
      </w:r>
    </w:p>
    <w:p>
      <w:pPr>
        <w:pStyle w:val="2"/>
        <w:spacing w:beforeLines="0" w:afterLines="0" w:line="560" w:lineRule="exact"/>
        <w:ind w:firstLine="640" w:firstLineChars="200"/>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补贴资金来源于</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历年的</w:t>
      </w:r>
      <w:r>
        <w:rPr>
          <w:rFonts w:hint="eastAsia" w:ascii="仿宋_GB2312" w:hAnsi="仿宋_GB2312" w:eastAsia="仿宋_GB2312" w:cs="仿宋_GB2312"/>
          <w:b w:val="0"/>
          <w:color w:val="000000" w:themeColor="text1"/>
          <w:sz w:val="32"/>
          <w:szCs w:val="32"/>
          <w14:textFill>
            <w14:solidFill>
              <w14:schemeClr w14:val="tx1"/>
            </w14:solidFill>
          </w14:textFill>
        </w:rPr>
        <w:t>海洋资源养护补贴资</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结余中</w:t>
      </w:r>
      <w:r>
        <w:rPr>
          <w:rFonts w:hint="eastAsia" w:ascii="仿宋_GB2312" w:hAnsi="仿宋_GB2312" w:eastAsia="仿宋_GB2312" w:cs="仿宋_GB2312"/>
          <w:b w:val="0"/>
          <w:color w:val="000000" w:themeColor="text1"/>
          <w:sz w:val="32"/>
          <w:szCs w:val="32"/>
          <w14:textFill>
            <w14:solidFill>
              <w14:schemeClr w14:val="tx1"/>
            </w14:solidFill>
          </w14:textFill>
        </w:rPr>
        <w:t>列支</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p>
    <w:p>
      <w:pPr>
        <w:spacing w:beforeLines="0" w:afterLines="0" w:line="560" w:lineRule="exact"/>
        <w:ind w:firstLine="643" w:firstLineChars="200"/>
        <w:rPr>
          <w:rFonts w:hint="eastAsia" w:ascii="黑体" w:hAnsi="黑体" w:eastAsia="黑体" w:cs="黑体"/>
          <w:b w:val="0"/>
          <w:bCs w:val="0"/>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w:t>
      </w:r>
      <w:r>
        <w:rPr>
          <w:rFonts w:hint="eastAsia" w:ascii="黑体" w:hAnsi="黑体" w:eastAsia="黑体" w:cs="黑体"/>
          <w:b w:val="0"/>
          <w:bCs w:val="0"/>
          <w:sz w:val="32"/>
          <w:szCs w:val="32"/>
        </w:rPr>
        <w:t>发放方式</w:t>
      </w:r>
    </w:p>
    <w:p>
      <w:pPr>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加大海洋渔业资源养护力度，引导渔民自觉遵守海洋伏季休渔等资源养护措施，促进海洋捕捞行业持续健康发展，海洋捕捞渔船渔业资源养护补贴由海洋伏季休渔补贴和负责任捕捞补贴两项指标组成。其中，海洋伏季休渔指标是指渔船执行国家海洋伏季休渔制度有关规定（含自主休渔）的情况；负责任捕捞指标是指渔船执行进出港报告、船位监测、渔捞日志、水生野生动物保护等管理制度措施的情况。</w:t>
      </w:r>
    </w:p>
    <w:p>
      <w:pPr>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海洋渔业资源养护补贴执行先生产作业后补助的方式发放，即当年对上一年度严格执行海洋伏季休渔制度和负责任捕捞制度措施的国内海洋捕捞渔船予以适当补贴，依据船长和作业类型分类分档进行补助测算。</w:t>
      </w:r>
    </w:p>
    <w:p>
      <w:pPr>
        <w:adjustRightInd w:val="0"/>
        <w:snapToGrid w:val="0"/>
        <w:spacing w:beforeLines="0" w:afterLines="0" w:line="560" w:lineRule="exact"/>
        <w:ind w:firstLine="643" w:firstLineChars="200"/>
        <w:rPr>
          <w:rFonts w:hint="eastAsia" w:ascii="黑体" w:hAnsi="黑体" w:eastAsia="黑体" w:cs="黑体"/>
          <w:sz w:val="32"/>
          <w:szCs w:val="32"/>
        </w:rPr>
      </w:pPr>
      <w:r>
        <w:rPr>
          <w:rFonts w:hint="eastAsia" w:ascii="黑体" w:hAnsi="黑体" w:eastAsia="黑体" w:cs="黑体"/>
          <w:b/>
          <w:bCs/>
          <w:sz w:val="32"/>
          <w:szCs w:val="32"/>
        </w:rPr>
        <w:t>四</w:t>
      </w:r>
      <w:r>
        <w:rPr>
          <w:rFonts w:hint="eastAsia" w:ascii="黑体" w:hAnsi="黑体" w:eastAsia="黑体" w:cs="黑体"/>
          <w:sz w:val="32"/>
          <w:szCs w:val="32"/>
        </w:rPr>
        <w:t>、发放范围和对象</w:t>
      </w:r>
    </w:p>
    <w:p>
      <w:pPr>
        <w:adjustRightInd w:val="0"/>
        <w:snapToGrid w:val="0"/>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海洋渔业资源养护补贴发放的范围应为纳入农业农村部“全国渔船动态管理系统”的海洋捕捞渔船，以及参加 2014 全省渔船普查，因船网工具指标用完，</w:t>
      </w:r>
      <w:r>
        <w:rPr>
          <w:rFonts w:hint="eastAsia" w:ascii="仿宋_GB2312" w:hAnsi="仿宋_GB2312" w:eastAsia="仿宋_GB2312" w:cs="仿宋_GB2312"/>
          <w:color w:val="auto"/>
          <w:sz w:val="32"/>
          <w:szCs w:val="32"/>
        </w:rPr>
        <w:t>暂时无法纳入上述系统，但历史上纳管的小型海洋捕捞渔船。</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海洋渔业资源养护补贴发放的对象应是上述海洋捕捞渔船“渔业船舶所有权登记证书”上的持证人。</w:t>
      </w:r>
    </w:p>
    <w:p>
      <w:pPr>
        <w:keepNext w:val="0"/>
        <w:keepLines w:val="0"/>
        <w:widowControl/>
        <w:suppressLineNumbers w:val="0"/>
        <w:ind w:firstLine="643" w:firstLineChars="200"/>
        <w:jc w:val="left"/>
        <w:rPr>
          <w:sz w:val="32"/>
          <w:szCs w:val="32"/>
        </w:rPr>
      </w:pPr>
      <w:r>
        <w:rPr>
          <w:rFonts w:hint="eastAsia" w:ascii="黑体" w:hAnsi="黑体" w:eastAsia="黑体" w:cs="黑体"/>
          <w:b/>
          <w:bCs/>
          <w:sz w:val="32"/>
          <w:szCs w:val="32"/>
        </w:rPr>
        <w:t>五</w:t>
      </w:r>
      <w:r>
        <w:rPr>
          <w:rFonts w:hint="eastAsia" w:ascii="黑体" w:hAnsi="黑体" w:eastAsia="黑体" w:cs="黑体"/>
          <w:sz w:val="32"/>
          <w:szCs w:val="32"/>
        </w:rPr>
        <w:t>、</w:t>
      </w:r>
      <w:r>
        <w:rPr>
          <w:rFonts w:ascii="黑体" w:hAnsi="宋体" w:eastAsia="黑体" w:cs="黑体"/>
          <w:color w:val="000000"/>
          <w:kern w:val="0"/>
          <w:sz w:val="32"/>
          <w:szCs w:val="32"/>
          <w:lang w:val="en-US" w:eastAsia="zh-CN" w:bidi="ar"/>
        </w:rPr>
        <w:t xml:space="preserve">发放条件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（一）申领海洋渔业资源养护补贴的海洋捕捞渔船，要具有有效的渔业船舶检验证书、渔业船舶国籍证书、渔业船舶所有权登记证书、渔业捕捞许可证，且 2023 年度渔船检验合格，并购买了当年度渔船保险。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（二）渔船因购置、继承、法院判决、拍卖等发生所有权转移的捕捞渔船，年内办结《渔业船网工具指标批准书》的，由买入方向船籍港所在地农业农村部门申领，未办结的由原船舶所有人申领。 </w:t>
      </w:r>
    </w:p>
    <w:p>
      <w:pPr>
        <w:keepNext w:val="0"/>
        <w:keepLines w:val="0"/>
        <w:widowControl/>
        <w:suppressLineNumbers w:val="0"/>
        <w:ind w:firstLine="640"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kern w:val="0"/>
          <w:sz w:val="32"/>
          <w:szCs w:val="32"/>
          <w:lang w:val="en-US" w:eastAsia="zh-CN" w:bidi="ar"/>
        </w:rPr>
        <w:t>（三）</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“入库未换证”渔船，不予发放补贴。</w:t>
      </w:r>
    </w:p>
    <w:p>
      <w:pPr>
        <w:adjustRightInd w:val="0"/>
        <w:snapToGrid w:val="0"/>
        <w:spacing w:beforeLines="0" w:afterLines="0"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、“船证不符”渔船的参数认定</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“船证不符”的渔船，船长、功率和作业类型依据渔业船舶检验证书、渔业船舶国籍证书、渔业船舶所有权登记证书、渔业捕捞许可证的数据，按“就低不就高”原则进行核定。</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完成整改并通过船检发放新证书的渔船，自证书发放的下一个月份起，按新证书上记载的船长与功率进行核定。</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渔船所有人为本省户籍渔民，其船籍港与户籍所在地不一致的，补贴由船籍港所在地的市县农业农村部门负责发放。</w:t>
      </w:r>
      <w:r>
        <w:rPr>
          <w:rFonts w:hint="eastAsia" w:ascii="仿宋_GB2312" w:hAnsi="仿宋_GB2312" w:eastAsia="仿宋_GB2312" w:cs="仿宋_GB2312"/>
          <w:b w:val="0"/>
          <w:bCs w:val="0"/>
          <w:sz w:val="32"/>
          <w:szCs w:val="32"/>
          <w:lang w:val="en-US" w:eastAsia="zh-CN"/>
        </w:rPr>
        <w:t xml:space="preserve">   </w:t>
      </w:r>
    </w:p>
    <w:p>
      <w:pPr>
        <w:keepNext w:val="0"/>
        <w:keepLines w:val="0"/>
        <w:widowControl/>
        <w:numPr>
          <w:ilvl w:val="0"/>
          <w:numId w:val="1"/>
        </w:numPr>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补贴标准及发放规定</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（一）补贴标准</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1.全年海洋渔业资源养护补贴=海洋伏季休渔补贴+负责任捕捞补贴；海洋伏季休渔补贴和负责任捕捞补贴各占比 50%。</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2.船籍港所在地农业农村部门，根据渔船的船长、功率、作业类型，依照海洋渔业资源养护补贴年度标准上限（详见附件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），按“就低不就高”原则，核定该船全年补贴金额。</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船长和主机功率未在同一分档标准区间的，按照船长或主机功率对应的较低档标准区间确定补贴标准上限；多种作业类型的渔船，按照作业类型所在的最低档分档标准区间确定补贴标准上限。</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（二）扣减补贴标准</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1.大中型渔船年度内首次有以下情形之一的，扣减当年度负责任捕捞补贴的 50%；第二次有以下情形之一的，全部扣减当年度负责任捕捞补贴：</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出海作业期间擅自关闭、屏蔽北斗和 AIS 等设备，以及发生故障后 24 小时内未及时向船籍港农业农村部门报告的；出海作业未按规定填写进出港报告的；将北斗和 AIS 等设备交给他船使用或使用他船北斗和 AIS 等设备伪造船位监测数据的；使用违规网具捕捞的；未经报备擅自异地休渔的。渔船未年检出海作业的；出海生产作业未按要求配齐船员和安全设施设备的；载人超过核载人数上限的；随船出海船员未购买人身保险的。</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2.有以下情形之一的，扣减全年海洋渔业资源养护补贴：</w:t>
      </w:r>
    </w:p>
    <w:p>
      <w:pPr>
        <w:adjustRightInd w:val="0"/>
        <w:snapToGrid w:val="0"/>
        <w:spacing w:beforeLines="0" w:afterLines="0"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违反海洋伏季休渔管理规定违规出海作业的；在防台风期间</w:t>
      </w:r>
    </w:p>
    <w:p>
      <w:pPr>
        <w:adjustRightInd w:val="0"/>
        <w:snapToGrid w:val="0"/>
        <w:spacing w:beforeLines="0" w:afterLines="0"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服从船籍港农业农村部门指挥，未及时返港避风或“追风头赶风尾”的；有电、毒、炸渔等违法行为的；违规跨海区（国境）生产的；非法捕捞保护水生生物的；暴力抗拒检查;套牌或使用假船名作业；违法违规进入各类保护区生产的。</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（三）补贴发放</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 年取得专项（特许）捕捞许可证的渔船，根据伏季休渔期间实施专项（特许）捕捞时间占伏季休渔整体时间比例，等比例减少发放海洋伏季休渔补贴，以渔船到港后向船籍港所在地农业农村部门书面申报到港休渔时间为准。严格执行负责任捕捞制度措施的，可给予负责任捕捞补贴。</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钓具渔船主动向农业农村部门报备并按照本海区休渔规定全程严格执行休渔的钓具渔船，也可以申领海洋伏季休渔补贴。</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达到限制使用船龄的老旧捕捞渔船（船龄认定参照《农业部关于加强老旧渔业船舶管理的通知》（农渔发〔2007〕11 号）），不予以补贴；双船有翼单囊拖网（双船底拖网）、单锚张纲张网（帆张网）、单囊有翼围网（三角虎网）渔船，不予以补贴。</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当年度内渔船发生报废、拆解、灭失等情况的，各市县（区）可根据当年执行伏季休渔和负责任捕捞情况，等比例发放补贴，以报废、拆解、灭失证明上备注的实际时间为准。</w:t>
      </w:r>
    </w:p>
    <w:p>
      <w:pPr>
        <w:adjustRightInd w:val="0"/>
        <w:snapToGrid w:val="0"/>
        <w:spacing w:beforeLines="0" w:afterLines="0" w:line="560" w:lineRule="exact"/>
        <w:ind w:firstLine="640" w:firstLineChars="200"/>
        <w:rPr>
          <w:rFonts w:hint="eastAsia" w:ascii="楷体_GB2312" w:hAnsi="楷体_GB2312" w:eastAsia="楷体_GB2312" w:cs="楷体_GB2312"/>
          <w:b/>
          <w:bCs/>
          <w:sz w:val="32"/>
          <w:szCs w:val="32"/>
        </w:rPr>
      </w:pPr>
      <w:r>
        <w:rPr>
          <w:rFonts w:hint="eastAsia" w:ascii="仿宋_GB2312" w:hAnsi="仿宋_GB2312" w:eastAsia="仿宋_GB2312" w:cs="仿宋_GB2312"/>
          <w:b w:val="0"/>
          <w:bCs w:val="0"/>
          <w:sz w:val="32"/>
          <w:szCs w:val="32"/>
        </w:rPr>
        <w:t>当年度申请减船转产的，各市县（区）可根据当年执行伏季休渔和负责任捕捞情况，等比例发放补贴，以拆解证明上的实际拆解时间为准</w:t>
      </w:r>
      <w:r>
        <w:rPr>
          <w:rFonts w:hint="eastAsia" w:ascii="楷体_GB2312" w:hAnsi="楷体_GB2312" w:eastAsia="楷体_GB2312" w:cs="楷体_GB2312"/>
          <w:b/>
          <w:bCs/>
          <w:sz w:val="32"/>
          <w:szCs w:val="32"/>
        </w:rPr>
        <w:t>。</w:t>
      </w:r>
    </w:p>
    <w:p>
      <w:pPr>
        <w:adjustRightInd w:val="0"/>
        <w:snapToGrid w:val="0"/>
        <w:spacing w:beforeLines="0" w:afterLines="0" w:line="56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32"/>
          <w:szCs w:val="32"/>
          <w:lang w:val="en-US" w:eastAsia="zh-CN"/>
        </w:rPr>
        <w:t>八、</w:t>
      </w:r>
      <w:r>
        <w:rPr>
          <w:rFonts w:hint="eastAsia" w:ascii="黑体" w:hAnsi="黑体" w:eastAsia="黑体" w:cs="黑体"/>
          <w:b w:val="0"/>
          <w:bCs w:val="0"/>
          <w:sz w:val="32"/>
          <w:szCs w:val="32"/>
          <w:lang w:val="en-US" w:eastAsia="zh-CN"/>
        </w:rPr>
        <w:t>申报程序和发放方式</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（一）申报审核</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渔船所有人提供相关申报材料，对其所提供的相关材料真实性负责。传统渔民渔船由所属村（居）委会对该船当年的存在性和生产情况进行审核确认并盖章，统一收集报所属乡镇政府做出意见后向县渔业主管部门提出申报；公司渔船由所属公司对该船当年的存在性和生产情况进行审核确认并盖章后，向县渔业主管部门提出申报。</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（二）复核测算</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县渔业主管部门相关人员收到相关申报材料后，依据补贴申领对象和条件、不予补贴渔船类型、</w:t>
      </w:r>
      <w:r>
        <w:rPr>
          <w:rFonts w:hint="eastAsia" w:ascii="仿宋_GB2312" w:hAnsi="仿宋_GB2312" w:eastAsia="仿宋_GB2312" w:cs="仿宋_GB2312"/>
          <w:b w:val="0"/>
          <w:bCs w:val="0"/>
          <w:color w:val="auto"/>
          <w:sz w:val="32"/>
          <w:szCs w:val="32"/>
          <w:lang w:val="en-US" w:eastAsia="zh-CN"/>
        </w:rPr>
        <w:t>参照核定数</w:t>
      </w:r>
      <w:r>
        <w:rPr>
          <w:rFonts w:hint="eastAsia" w:ascii="仿宋_GB2312" w:hAnsi="仿宋_GB2312" w:eastAsia="仿宋_GB2312" w:cs="仿宋_GB2312"/>
          <w:b w:val="0"/>
          <w:bCs w:val="0"/>
          <w:sz w:val="32"/>
          <w:szCs w:val="32"/>
          <w:lang w:val="en-US" w:eastAsia="zh-CN"/>
        </w:rPr>
        <w:t>与作业类型、补贴标准和发放规定等，对所提供的申报材料进行审查，对不符合材料及时作出退回处理；测算每艘渔船的补贴发放金额，制定拟补贴明细表。</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（三）公示发放</w:t>
      </w:r>
    </w:p>
    <w:p>
      <w:pPr>
        <w:adjustRightInd w:val="0"/>
        <w:snapToGrid w:val="0"/>
        <w:spacing w:beforeLines="0"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拟补贴明细表在渔船所在的村（居）委会等公场所进行张贴公示,以接受社会监督，公示期为5天。公示期满无异议后，由县渔业主管部门按国库集中支付有关规定及时将补贴资金发放至渔船所有人账户。渔船所有人为个人的，通过惠民一卡通“社保卡”发放；渔船所有人为渔业企业或专业合作社的，通过银行账户转账发放。</w:t>
      </w:r>
    </w:p>
    <w:p>
      <w:pPr>
        <w:adjustRightInd w:val="0"/>
        <w:snapToGrid w:val="0"/>
        <w:spacing w:beforeLines="0" w:afterLines="0"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九</w:t>
      </w:r>
      <w:r>
        <w:rPr>
          <w:rFonts w:ascii="黑体" w:hAnsi="黑体" w:eastAsia="黑体" w:cs="黑体"/>
          <w:sz w:val="32"/>
          <w:szCs w:val="32"/>
        </w:rPr>
        <w:t>、工作要求</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渔业资源养护补贴发放工作，直接关系到国家惠民政策落实和广大渔民群众切身利益，事关海南渔业经济高质量发展和渔民增收。各相关部门领导务必高度重视，精心组织，主要领导要亲自抓，指定专人负责，切实将该项工作抓紧抓实，如期完成补贴发放任务。</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（二）县渔业主管部门要积极与财政部门做好资金沟通对接工作，确保补贴资金足额发放，上年度补贴发放结余的资金，可以结转用于本年度补贴发放。</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按照有关规定，切实加强资金监管，严禁挤占、截留、挪用（包括不得用于工作经费）补贴资金，全面落实公开公示制度，确保资金使用安全、规范和有效。按照全过程预算绩效管理要求，科学设置绩效目标，做好绩效运行监控和绩效评价，切实发挥财政资金使用效益。</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（四）县渔业主管部门要核实</w:t>
      </w:r>
      <w:r>
        <w:rPr>
          <w:rFonts w:hint="eastAsia" w:ascii="仿宋_GB2312" w:hAnsi="仿宋_GB2312" w:eastAsia="仿宋_GB2312" w:cs="仿宋_GB2312"/>
          <w:color w:val="auto"/>
          <w:sz w:val="32"/>
          <w:szCs w:val="32"/>
        </w:rPr>
        <w:t>掌握</w:t>
      </w:r>
      <w:r>
        <w:rPr>
          <w:rFonts w:hint="eastAsia" w:ascii="仿宋_GB2312" w:hAnsi="仿宋_GB2312" w:eastAsia="仿宋_GB2312" w:cs="仿宋_GB2312"/>
          <w:sz w:val="32"/>
          <w:szCs w:val="32"/>
        </w:rPr>
        <w:t>本辖区内渔船的生产、违纪违法以及北斗监控、安全救生设备的配备使用情况，及时掌握当年度渔船变更底数，核实年度内渔船买卖、灭失、更新改造等情况，确保渔业资源养护补贴发放的准确性。</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属地村（居）委会要对符合发放补贴的该船当年的存在性和生产情况进行审核并作出意见，属地镇政府要落实属地管理职责，掌握辖区内的渔船基本情况，对于符合补贴条件的应给予批准，同时将所管辖区域的补贴申请审批表统一交给县渔业主管部门进行核查，配合做好渔业资源养护补贴发放工作。</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（六）加快补贴发放进度，</w:t>
      </w:r>
      <w:r>
        <w:rPr>
          <w:rFonts w:hint="eastAsia" w:ascii="仿宋_GB2312" w:hAnsi="仿宋_GB2312" w:eastAsia="仿宋_GB2312" w:cs="仿宋_GB2312"/>
          <w:sz w:val="32"/>
          <w:szCs w:val="32"/>
          <w:lang w:eastAsia="zh-CN"/>
        </w:rPr>
        <w:t>每月 25 日前，向省农业农村厅报送资金发放情况。</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日前完成昌江黎族自治县202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年度海洋捕捞渔船渔业资源养护补贴</w:t>
      </w:r>
      <w:r>
        <w:rPr>
          <w:rFonts w:hint="eastAsia" w:ascii="仿宋_GB2312" w:hAnsi="仿宋_GB2312" w:eastAsia="仿宋_GB2312" w:cs="仿宋_GB2312"/>
          <w:sz w:val="32"/>
          <w:szCs w:val="32"/>
          <w:lang w:eastAsia="zh-CN"/>
        </w:rPr>
        <w:t>的应发尽发</w:t>
      </w:r>
      <w:r>
        <w:rPr>
          <w:rFonts w:hint="eastAsia" w:ascii="仿宋_GB2312" w:hAnsi="仿宋_GB2312" w:eastAsia="仿宋_GB2312" w:cs="仿宋_GB2312"/>
          <w:sz w:val="32"/>
          <w:szCs w:val="32"/>
        </w:rPr>
        <w:t>。补贴发放完成后，15个工作日内将项目绩效评价报告并以正式文报送省农业农村厅。</w:t>
      </w:r>
    </w:p>
    <w:p>
      <w:pPr>
        <w:spacing w:beforeLines="0" w:afterLines="0" w:line="560" w:lineRule="exact"/>
        <w:rPr>
          <w:rFonts w:hint="eastAsia" w:ascii="仿宋_GB2312" w:hAnsi="仿宋_GB2312" w:eastAsia="仿宋_GB2312" w:cs="仿宋_GB2312"/>
          <w:sz w:val="32"/>
          <w:szCs w:val="32"/>
        </w:rPr>
      </w:pPr>
    </w:p>
    <w:p>
      <w:pPr>
        <w:adjustRightInd w:val="0"/>
        <w:snapToGrid w:val="0"/>
        <w:spacing w:beforeLines="0" w:afterLines="0"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海洋渔业资源养护补贴年度标准上限</w:t>
      </w:r>
    </w:p>
    <w:p>
      <w:pPr>
        <w:spacing w:beforeLines="0" w:afterLines="0" w:line="560" w:lineRule="exact"/>
        <w:sectPr>
          <w:pgSz w:w="11906" w:h="16838"/>
          <w:pgMar w:top="1440" w:right="1800" w:bottom="1157" w:left="1800" w:header="851" w:footer="992" w:gutter="0"/>
          <w:cols w:space="0" w:num="1"/>
          <w:rtlGutter w:val="0"/>
          <w:docGrid w:type="lines" w:linePitch="312" w:charSpace="0"/>
        </w:sectPr>
      </w:pPr>
    </w:p>
    <w:p>
      <w:pPr>
        <w:widowControl/>
        <w:spacing w:line="192" w:lineRule="auto"/>
        <w:ind w:firstLine="180" w:firstLineChars="100"/>
        <w:jc w:val="left"/>
        <w:textAlignment w:val="center"/>
        <w:rPr>
          <w:rStyle w:val="7"/>
          <w:rFonts w:hint="default"/>
          <w:b w:val="0"/>
          <w:bCs/>
          <w:sz w:val="15"/>
          <w:szCs w:val="15"/>
          <w:lang w:bidi="ar"/>
        </w:rPr>
      </w:pPr>
      <w:r>
        <w:rPr>
          <w:rStyle w:val="7"/>
          <w:rFonts w:hint="default"/>
          <w:b w:val="0"/>
          <w:bCs/>
          <w:sz w:val="18"/>
          <w:szCs w:val="18"/>
          <w:lang w:bidi="ar"/>
        </w:rPr>
        <w:t>附件</w:t>
      </w:r>
      <w:r>
        <w:rPr>
          <w:rStyle w:val="7"/>
          <w:rFonts w:hint="eastAsia"/>
          <w:b w:val="0"/>
          <w:bCs/>
          <w:sz w:val="18"/>
          <w:szCs w:val="18"/>
          <w:lang w:val="en-US" w:eastAsia="zh-CN" w:bidi="ar"/>
        </w:rPr>
        <w:t>1</w:t>
      </w:r>
      <w:r>
        <w:rPr>
          <w:rStyle w:val="7"/>
          <w:rFonts w:hint="default"/>
          <w:b w:val="0"/>
          <w:bCs/>
          <w:sz w:val="18"/>
          <w:szCs w:val="18"/>
          <w:lang w:bidi="ar"/>
        </w:rPr>
        <w:t xml:space="preserve">：                                                         </w:t>
      </w:r>
      <w:r>
        <w:rPr>
          <w:rStyle w:val="7"/>
          <w:rFonts w:hint="default"/>
          <w:szCs w:val="21"/>
          <w:lang w:bidi="ar"/>
        </w:rPr>
        <w:t>海洋渔业资源养护补贴年度标准上限</w:t>
      </w:r>
      <w:r>
        <w:rPr>
          <w:rStyle w:val="7"/>
          <w:rFonts w:hint="default"/>
          <w:b w:val="0"/>
          <w:bCs/>
          <w:sz w:val="15"/>
          <w:szCs w:val="15"/>
          <w:lang w:bidi="ar"/>
        </w:rPr>
        <w:t>单位：  万元</w:t>
      </w:r>
    </w:p>
    <w:tbl>
      <w:tblPr>
        <w:tblStyle w:val="5"/>
        <w:tblpPr w:leftFromText="180" w:rightFromText="180" w:vertAnchor="text" w:horzAnchor="page" w:tblpX="332" w:tblpY="75"/>
        <w:tblOverlap w:val="never"/>
        <w:tblW w:w="0" w:type="auto"/>
        <w:tblInd w:w="0" w:type="dxa"/>
        <w:tblLayout w:type="fixed"/>
        <w:tblCellMar>
          <w:top w:w="0" w:type="dxa"/>
          <w:left w:w="0" w:type="dxa"/>
          <w:bottom w:w="0" w:type="dxa"/>
          <w:right w:w="0" w:type="dxa"/>
        </w:tblCellMar>
      </w:tblPr>
      <w:tblGrid>
        <w:gridCol w:w="1633"/>
        <w:gridCol w:w="1150"/>
        <w:gridCol w:w="683"/>
        <w:gridCol w:w="706"/>
        <w:gridCol w:w="868"/>
        <w:gridCol w:w="2254"/>
        <w:gridCol w:w="495"/>
        <w:gridCol w:w="511"/>
        <w:gridCol w:w="554"/>
        <w:gridCol w:w="445"/>
        <w:gridCol w:w="1251"/>
        <w:gridCol w:w="748"/>
        <w:gridCol w:w="1615"/>
        <w:gridCol w:w="725"/>
        <w:gridCol w:w="624"/>
        <w:gridCol w:w="648"/>
        <w:gridCol w:w="1070"/>
      </w:tblGrid>
      <w:tr>
        <w:tblPrEx>
          <w:tblCellMar>
            <w:top w:w="0" w:type="dxa"/>
            <w:left w:w="0" w:type="dxa"/>
            <w:bottom w:w="0" w:type="dxa"/>
            <w:right w:w="0" w:type="dxa"/>
          </w:tblCellMar>
        </w:tblPrEx>
        <w:trPr>
          <w:trHeight w:val="215" w:hRule="atLeast"/>
        </w:trPr>
        <w:tc>
          <w:tcPr>
            <w:tcW w:w="1633" w:type="dxa"/>
            <w:vMerge w:val="restart"/>
            <w:tcBorders>
              <w:top w:val="single" w:color="000000" w:sz="4" w:space="0"/>
              <w:left w:val="single" w:color="000000" w:sz="4" w:space="0"/>
              <w:bottom w:val="single" w:color="000000" w:sz="4" w:space="0"/>
              <w:right w:val="single" w:color="000000" w:sz="4" w:space="0"/>
              <w:tl2br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 xml:space="preserve">   作业类型</w:t>
            </w:r>
            <w:r>
              <w:rPr>
                <w:rFonts w:hint="eastAsia" w:ascii="宋体" w:hAnsi="宋体" w:cs="宋体"/>
                <w:kern w:val="0"/>
                <w:sz w:val="15"/>
                <w:szCs w:val="15"/>
                <w:lang w:bidi="ar"/>
              </w:rPr>
              <w:br w:type="textWrapping"/>
            </w:r>
            <w:r>
              <w:rPr>
                <w:rFonts w:hint="eastAsia" w:ascii="宋体" w:hAnsi="宋体" w:cs="宋体"/>
                <w:kern w:val="0"/>
                <w:sz w:val="15"/>
                <w:szCs w:val="15"/>
                <w:lang w:bidi="ar"/>
              </w:rPr>
              <w:br w:type="textWrapping"/>
            </w:r>
            <w:r>
              <w:rPr>
                <w:rFonts w:hint="eastAsia" w:ascii="宋体" w:hAnsi="宋体" w:cs="宋体"/>
                <w:kern w:val="0"/>
                <w:sz w:val="15"/>
                <w:szCs w:val="15"/>
                <w:lang w:bidi="ar"/>
              </w:rPr>
              <w:t>船长</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拖网（双船有翼单囊拖网/双船底层单片拖网除外）</w:t>
            </w:r>
          </w:p>
        </w:tc>
        <w:tc>
          <w:tcPr>
            <w:tcW w:w="68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张网（单锚张纲张网除外）</w:t>
            </w:r>
          </w:p>
        </w:tc>
        <w:tc>
          <w:tcPr>
            <w:tcW w:w="15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围网</w:t>
            </w:r>
          </w:p>
        </w:tc>
        <w:tc>
          <w:tcPr>
            <w:tcW w:w="274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刺网</w:t>
            </w:r>
          </w:p>
        </w:tc>
        <w:tc>
          <w:tcPr>
            <w:tcW w:w="51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钓具</w:t>
            </w:r>
          </w:p>
        </w:tc>
        <w:tc>
          <w:tcPr>
            <w:tcW w:w="5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耙刺</w:t>
            </w:r>
          </w:p>
        </w:tc>
        <w:tc>
          <w:tcPr>
            <w:tcW w:w="44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陷阱</w:t>
            </w:r>
          </w:p>
        </w:tc>
        <w:tc>
          <w:tcPr>
            <w:tcW w:w="199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笼壶</w:t>
            </w:r>
          </w:p>
        </w:tc>
        <w:tc>
          <w:tcPr>
            <w:tcW w:w="23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敷网</w:t>
            </w:r>
          </w:p>
        </w:tc>
        <w:tc>
          <w:tcPr>
            <w:tcW w:w="127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罩网</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地拉网/抄网</w:t>
            </w:r>
          </w:p>
        </w:tc>
      </w:tr>
      <w:tr>
        <w:tblPrEx>
          <w:tblCellMar>
            <w:top w:w="0" w:type="dxa"/>
            <w:left w:w="0" w:type="dxa"/>
            <w:bottom w:w="0" w:type="dxa"/>
            <w:right w:w="0" w:type="dxa"/>
          </w:tblCellMar>
        </w:tblPrEx>
        <w:trPr>
          <w:trHeight w:val="461" w:hRule="atLeast"/>
        </w:trPr>
        <w:tc>
          <w:tcPr>
            <w:tcW w:w="1633" w:type="dxa"/>
            <w:vMerge w:val="continue"/>
            <w:tcBorders>
              <w:top w:val="single" w:color="000000" w:sz="4" w:space="0"/>
              <w:left w:val="single" w:color="000000" w:sz="4" w:space="0"/>
              <w:bottom w:val="single" w:color="000000" w:sz="4" w:space="0"/>
              <w:right w:val="single" w:color="000000" w:sz="4" w:space="0"/>
              <w:tl2br w:val="single" w:color="000000" w:sz="4" w:space="0"/>
            </w:tcBorders>
            <w:noWrap w:val="0"/>
            <w:tcMar>
              <w:top w:w="12" w:type="dxa"/>
              <w:left w:w="12" w:type="dxa"/>
              <w:right w:w="12" w:type="dxa"/>
            </w:tcMar>
            <w:vAlign w:val="center"/>
          </w:tcPr>
          <w:p>
            <w:pPr>
              <w:jc w:val="center"/>
              <w:rPr>
                <w:rFonts w:ascii="宋体" w:hAnsi="宋体" w:cs="宋体"/>
                <w:sz w:val="15"/>
                <w:szCs w:val="15"/>
              </w:rPr>
            </w:pP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sz w:val="15"/>
                <w:szCs w:val="15"/>
              </w:rPr>
            </w:pPr>
          </w:p>
        </w:tc>
        <w:tc>
          <w:tcPr>
            <w:tcW w:w="68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sz w:val="15"/>
                <w:szCs w:val="15"/>
              </w:rPr>
            </w:pP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大型轮机围网</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其他单船有囊围网除外</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定置双重刺网/定置三重刺网/漂流双重刺网/漂流三重刺网</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其他</w:t>
            </w:r>
          </w:p>
        </w:tc>
        <w:tc>
          <w:tcPr>
            <w:tcW w:w="51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sz w:val="15"/>
                <w:szCs w:val="15"/>
              </w:rPr>
            </w:pP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sz w:val="15"/>
                <w:szCs w:val="15"/>
              </w:rPr>
            </w:pPr>
          </w:p>
        </w:tc>
        <w:tc>
          <w:tcPr>
            <w:tcW w:w="44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sz w:val="15"/>
                <w:szCs w:val="15"/>
              </w:rPr>
            </w:pP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定置串联倒须笼（地笼、地龙）</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其他</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漂流多层帘式敷具（飞鱼帘、飞鱼卵草帘）</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其他</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撑开掩网掩罩</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lang w:bidi="ar"/>
              </w:rPr>
              <w:t>其他</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90"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船长＜8米</w:t>
            </w:r>
          </w:p>
        </w:tc>
        <w:tc>
          <w:tcPr>
            <w:tcW w:w="14347" w:type="dxa"/>
            <w:gridSpan w:val="1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b/>
                <w:szCs w:val="21"/>
              </w:rPr>
            </w:pPr>
            <w:r>
              <w:rPr>
                <w:rFonts w:hint="eastAsia" w:ascii="宋体" w:hAnsi="宋体" w:cs="宋体"/>
                <w:b/>
                <w:kern w:val="0"/>
                <w:szCs w:val="21"/>
                <w:lang w:bidi="ar"/>
              </w:rPr>
              <w:t>0.9</w:t>
            </w:r>
          </w:p>
        </w:tc>
      </w:tr>
      <w:tr>
        <w:tblPrEx>
          <w:tblCellMar>
            <w:top w:w="0" w:type="dxa"/>
            <w:left w:w="0" w:type="dxa"/>
            <w:bottom w:w="0" w:type="dxa"/>
            <w:right w:w="0" w:type="dxa"/>
          </w:tblCellMar>
        </w:tblPrEx>
        <w:trPr>
          <w:trHeight w:val="43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8米≤船长＜10米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（且9千瓦以上）</w:t>
            </w:r>
          </w:p>
        </w:tc>
        <w:tc>
          <w:tcPr>
            <w:tcW w:w="14347" w:type="dxa"/>
            <w:gridSpan w:val="1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b/>
                <w:szCs w:val="21"/>
              </w:rPr>
            </w:pPr>
            <w:r>
              <w:rPr>
                <w:rFonts w:hint="eastAsia" w:ascii="宋体" w:hAnsi="宋体" w:cs="宋体"/>
                <w:b/>
                <w:kern w:val="0"/>
                <w:szCs w:val="21"/>
                <w:lang w:bidi="ar"/>
              </w:rPr>
              <w:t>1.2</w:t>
            </w:r>
          </w:p>
        </w:tc>
      </w:tr>
      <w:tr>
        <w:tblPrEx>
          <w:tblCellMar>
            <w:top w:w="0" w:type="dxa"/>
            <w:left w:w="0" w:type="dxa"/>
            <w:bottom w:w="0" w:type="dxa"/>
            <w:right w:w="0" w:type="dxa"/>
          </w:tblCellMar>
        </w:tblPrEx>
        <w:trPr>
          <w:trHeight w:val="37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10米≤船长＜12米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（且11千瓦以上）</w:t>
            </w:r>
          </w:p>
        </w:tc>
        <w:tc>
          <w:tcPr>
            <w:tcW w:w="14347" w:type="dxa"/>
            <w:gridSpan w:val="1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b/>
                <w:szCs w:val="21"/>
              </w:rPr>
            </w:pPr>
            <w:r>
              <w:rPr>
                <w:rFonts w:hint="eastAsia" w:ascii="宋体" w:hAnsi="宋体" w:cs="宋体"/>
                <w:b/>
                <w:kern w:val="0"/>
                <w:szCs w:val="21"/>
                <w:lang w:bidi="ar"/>
              </w:rPr>
              <w:t>1.5</w:t>
            </w:r>
          </w:p>
        </w:tc>
      </w:tr>
      <w:tr>
        <w:tblPrEx>
          <w:tblCellMar>
            <w:top w:w="0" w:type="dxa"/>
            <w:left w:w="0" w:type="dxa"/>
            <w:bottom w:w="0" w:type="dxa"/>
            <w:right w:w="0" w:type="dxa"/>
          </w:tblCellMar>
        </w:tblPrEx>
        <w:trPr>
          <w:trHeight w:val="406"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12米≤船长＜14米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（且20千瓦以上）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2.2</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1.9</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1.6</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2.2</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40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14米≤船长＜16米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（且30千瓦以上）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1.8</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3.2</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1.8</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2.1</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3.7</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2.1</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1.6</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2.1</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1.6</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3.2</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1.6</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1.6</w:t>
            </w:r>
          </w:p>
        </w:tc>
      </w:tr>
      <w:tr>
        <w:tblPrEx>
          <w:tblCellMar>
            <w:top w:w="0" w:type="dxa"/>
            <w:left w:w="0" w:type="dxa"/>
            <w:bottom w:w="0" w:type="dxa"/>
            <w:right w:w="0" w:type="dxa"/>
          </w:tblCellMar>
        </w:tblPrEx>
        <w:trPr>
          <w:trHeight w:val="54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16米≤船长＜18米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（且40千瓦以上）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2.6</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1.7</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5.0 </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2.7</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2.9</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6.1</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3.3</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2.3</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2.8</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2.8</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5.0 </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2.8</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2.8</w:t>
            </w:r>
          </w:p>
        </w:tc>
      </w:tr>
      <w:tr>
        <w:tblPrEx>
          <w:tblCellMar>
            <w:top w:w="0" w:type="dxa"/>
            <w:left w:w="0" w:type="dxa"/>
            <w:bottom w:w="0" w:type="dxa"/>
            <w:right w:w="0" w:type="dxa"/>
          </w:tblCellMar>
        </w:tblPrEx>
        <w:trPr>
          <w:trHeight w:val="570"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18米≤船长＜20米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（且70千瓦以上）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4.5</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3.2</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6.0 </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4.0 </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5.1</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8.2</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4.4</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3.5</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3.8</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6.0 </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3.8</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3.8</w:t>
            </w:r>
          </w:p>
        </w:tc>
      </w:tr>
      <w:tr>
        <w:tblPrEx>
          <w:tblCellMar>
            <w:top w:w="0" w:type="dxa"/>
            <w:left w:w="0" w:type="dxa"/>
            <w:bottom w:w="0" w:type="dxa"/>
            <w:right w:w="0" w:type="dxa"/>
          </w:tblCellMar>
        </w:tblPrEx>
        <w:trPr>
          <w:trHeight w:val="584"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20米≤船长＜24米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（且90千瓦以上）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5.5</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3.9</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23.5</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8.1</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4.9</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6.1</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9.6</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4.8</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3.5</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4.4</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5.3</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8.1</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5.3</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5.3</w:t>
            </w:r>
          </w:p>
        </w:tc>
      </w:tr>
      <w:tr>
        <w:tblPrEx>
          <w:tblCellMar>
            <w:top w:w="0" w:type="dxa"/>
            <w:left w:w="0" w:type="dxa"/>
            <w:bottom w:w="0" w:type="dxa"/>
            <w:right w:w="0" w:type="dxa"/>
          </w:tblCellMar>
        </w:tblPrEx>
        <w:trPr>
          <w:trHeight w:val="689"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24米≤船长＜30米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（且130千瓦以上）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8.6</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5.6</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27.4</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12.3</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7.2</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9.2</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10.9</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5.7</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4.2</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7.1</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6.4</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12.3</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6.4</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6.4</w:t>
            </w:r>
          </w:p>
        </w:tc>
      </w:tr>
      <w:tr>
        <w:tblPrEx>
          <w:tblCellMar>
            <w:top w:w="0" w:type="dxa"/>
            <w:left w:w="0" w:type="dxa"/>
            <w:bottom w:w="0" w:type="dxa"/>
            <w:right w:w="0" w:type="dxa"/>
          </w:tblCellMar>
        </w:tblPrEx>
        <w:trPr>
          <w:trHeight w:val="51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30米≤船长＜35米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（且180千瓦以上）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11.1</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7.7</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30.6</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15.1</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9.4</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11.8</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7.8</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5.1</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7.8</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8.9</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15.1</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8.9</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8.9</w:t>
            </w:r>
          </w:p>
        </w:tc>
      </w:tr>
      <w:tr>
        <w:tblPrEx>
          <w:tblCellMar>
            <w:top w:w="0" w:type="dxa"/>
            <w:left w:w="0" w:type="dxa"/>
            <w:bottom w:w="0" w:type="dxa"/>
            <w:right w:w="0" w:type="dxa"/>
          </w:tblCellMar>
        </w:tblPrEx>
        <w:trPr>
          <w:trHeight w:val="48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35米≤船长＜40米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（且220千瓦以上）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14.3</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8.8</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18.0 </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12.6</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13.3</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23.9</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5.6</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8.5</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10.0 </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18.0 </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10.0 </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10.0 </w:t>
            </w:r>
          </w:p>
        </w:tc>
      </w:tr>
      <w:tr>
        <w:tblPrEx>
          <w:tblCellMar>
            <w:top w:w="0" w:type="dxa"/>
            <w:left w:w="0" w:type="dxa"/>
            <w:bottom w:w="0" w:type="dxa"/>
            <w:right w:w="0" w:type="dxa"/>
          </w:tblCellMar>
        </w:tblPrEx>
        <w:trPr>
          <w:trHeight w:val="45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40米≤船长＜45米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（且250千瓦以上）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16.0 </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11.2</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20.2</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15.3</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15.9</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5.8</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8.9</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11.7</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20.2</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11.7</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11.7</w:t>
            </w:r>
          </w:p>
        </w:tc>
      </w:tr>
      <w:tr>
        <w:tblPrEx>
          <w:tblCellMar>
            <w:top w:w="0" w:type="dxa"/>
            <w:left w:w="0" w:type="dxa"/>
            <w:bottom w:w="0" w:type="dxa"/>
            <w:right w:w="0" w:type="dxa"/>
          </w:tblCellMar>
        </w:tblPrEx>
        <w:trPr>
          <w:trHeight w:val="226"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45米≤船长＜50米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（且300千瓦以上）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16.4</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14.4</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21.9</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17.1</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20.5</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12.5</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13.9</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21.9</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13.9</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13.9</w:t>
            </w:r>
          </w:p>
        </w:tc>
      </w:tr>
      <w:tr>
        <w:tblPrEx>
          <w:tblCellMar>
            <w:top w:w="0" w:type="dxa"/>
            <w:left w:w="0" w:type="dxa"/>
            <w:bottom w:w="0" w:type="dxa"/>
            <w:right w:w="0" w:type="dxa"/>
          </w:tblCellMar>
        </w:tblPrEx>
        <w:trPr>
          <w:trHeight w:val="461" w:hRule="atLeast"/>
        </w:trPr>
        <w:tc>
          <w:tcPr>
            <w:tcW w:w="1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50米≤船长＜55米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（且360千瓦以上）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8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23.0 </w:t>
            </w:r>
          </w:p>
        </w:tc>
        <w:tc>
          <w:tcPr>
            <w:tcW w:w="2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2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6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7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 xml:space="preserve">23.0 </w:t>
            </w:r>
          </w:p>
        </w:tc>
        <w:tc>
          <w:tcPr>
            <w:tcW w:w="6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c>
          <w:tcPr>
            <w:tcW w:w="10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541" w:hRule="atLeast"/>
        </w:trPr>
        <w:tc>
          <w:tcPr>
            <w:tcW w:w="163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船长大于等于55米</w:t>
            </w:r>
            <w:r>
              <w:rPr>
                <w:rFonts w:ascii="Times New Roman" w:hAnsi="Times New Roman" w:eastAsia="仿宋"/>
                <w:b/>
                <w:kern w:val="0"/>
                <w:sz w:val="15"/>
                <w:szCs w:val="15"/>
                <w:lang w:bidi="ar"/>
              </w:rPr>
              <w:br w:type="textWrapping"/>
            </w:r>
            <w:r>
              <w:rPr>
                <w:rFonts w:ascii="Times New Roman" w:hAnsi="Times New Roman" w:eastAsia="仿宋"/>
                <w:b/>
                <w:kern w:val="0"/>
                <w:sz w:val="15"/>
                <w:szCs w:val="15"/>
                <w:lang w:bidi="ar"/>
              </w:rPr>
              <w:t>（且441千瓦以上）</w:t>
            </w:r>
          </w:p>
        </w:tc>
        <w:tc>
          <w:tcPr>
            <w:tcW w:w="1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
                <w:b/>
                <w:sz w:val="15"/>
                <w:szCs w:val="15"/>
              </w:rPr>
            </w:pPr>
            <w:r>
              <w:rPr>
                <w:rFonts w:ascii="Times New Roman" w:hAnsi="Times New Roman" w:eastAsia="仿宋"/>
                <w:b/>
                <w:kern w:val="0"/>
                <w:sz w:val="15"/>
                <w:szCs w:val="15"/>
                <w:lang w:bidi="ar"/>
              </w:rPr>
              <w:t>－</w:t>
            </w:r>
          </w:p>
        </w:tc>
        <w:tc>
          <w:tcPr>
            <w:tcW w:w="68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70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86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2254"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49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511"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554"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44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1251"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74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161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72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624"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64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c>
          <w:tcPr>
            <w:tcW w:w="107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lang w:bidi="ar"/>
              </w:rPr>
              <w:t>－</w:t>
            </w:r>
          </w:p>
        </w:tc>
      </w:tr>
    </w:tbl>
    <w:p>
      <w:pPr>
        <w:widowControl/>
        <w:spacing w:line="240" w:lineRule="auto"/>
        <w:jc w:val="left"/>
        <w:textAlignment w:val="center"/>
      </w:pPr>
    </w:p>
    <w:sectPr>
      <w:pgSz w:w="16838" w:h="11906" w:orient="landscape"/>
      <w:pgMar w:top="272" w:right="873" w:bottom="556" w:left="1440" w:header="1587"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5F66F"/>
    <w:multiLevelType w:val="singleLevel"/>
    <w:tmpl w:val="CB35F66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TZiOTM0N2ViMTMwOGMwODczNmY1YmRhYzcyNWUifQ=="/>
  </w:docVars>
  <w:rsids>
    <w:rsidRoot w:val="00000000"/>
    <w:rsid w:val="03D273D5"/>
    <w:rsid w:val="06FB61A3"/>
    <w:rsid w:val="0A1F6AD8"/>
    <w:rsid w:val="0FDB134A"/>
    <w:rsid w:val="14005034"/>
    <w:rsid w:val="165E7815"/>
    <w:rsid w:val="198A6A51"/>
    <w:rsid w:val="1CA459B9"/>
    <w:rsid w:val="27DF5E47"/>
    <w:rsid w:val="27F859E4"/>
    <w:rsid w:val="33FF44E1"/>
    <w:rsid w:val="448007FB"/>
    <w:rsid w:val="479E1809"/>
    <w:rsid w:val="4A591FD2"/>
    <w:rsid w:val="56FE7FED"/>
    <w:rsid w:val="5FF131D0"/>
    <w:rsid w:val="60637B4B"/>
    <w:rsid w:val="60E42822"/>
    <w:rsid w:val="62064153"/>
    <w:rsid w:val="656D73AA"/>
    <w:rsid w:val="661B1DC2"/>
    <w:rsid w:val="674D4178"/>
    <w:rsid w:val="69704F77"/>
    <w:rsid w:val="6A5154AF"/>
    <w:rsid w:val="71E91212"/>
    <w:rsid w:val="740C0AAF"/>
    <w:rsid w:val="755053A6"/>
    <w:rsid w:val="78F174A5"/>
    <w:rsid w:val="7ABB2FCC"/>
    <w:rsid w:val="7CC42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unhideWhenUsed/>
    <w:qFormat/>
    <w:uiPriority w:val="0"/>
    <w:pPr>
      <w:keepNext/>
      <w:keepLines/>
      <w:spacing w:line="600" w:lineRule="exact"/>
      <w:outlineLvl w:val="1"/>
    </w:pPr>
    <w:rPr>
      <w:rFonts w:ascii="Arial" w:hAnsi="Arial" w:eastAsia="黑体" w:cs="Times New Roman"/>
      <w:b/>
      <w:szCs w:val="2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51"/>
    <w:basedOn w:val="6"/>
    <w:autoRedefine/>
    <w:qFormat/>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2024-02-04T01:32:00Z</dcterms:created>
  <dc:creator>Administrator</dc:creator>
  <cp:lastModifiedBy>劳成雄</cp:lastModifiedBy>
  <cp:lastPrinted>2024-02-22T09:09:00Z</cp:lastPrinted>
  <dcterms:modified xsi:type="dcterms:W3CDTF">2024-02-23T09:13:26Z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EDEE2BF598594B199472A0C6DBF9F58D_12</vt:lpwstr>
  </property>
</Properties>
</file>